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5F1" w:rsidRPr="001219AF" w:rsidRDefault="001219AF">
      <w:pPr>
        <w:rPr>
          <w:b/>
          <w:sz w:val="28"/>
          <w:u w:val="single"/>
        </w:rPr>
      </w:pPr>
      <w:r w:rsidRPr="001219AF">
        <w:rPr>
          <w:b/>
          <w:sz w:val="28"/>
          <w:u w:val="single"/>
        </w:rPr>
        <w:t>TITLE PAGE</w:t>
      </w:r>
    </w:p>
    <w:p w:rsidR="001219AF" w:rsidRDefault="001219AF"/>
    <w:p w:rsidR="001219AF" w:rsidRDefault="001219AF" w:rsidP="001219AF">
      <w:pPr>
        <w:rPr>
          <w:b/>
          <w:sz w:val="28"/>
        </w:rPr>
      </w:pPr>
      <w:r w:rsidRPr="001219AF">
        <w:rPr>
          <w:b/>
          <w:sz w:val="28"/>
        </w:rPr>
        <w:t xml:space="preserve">TITLE: </w:t>
      </w:r>
      <w:r w:rsidRPr="001219AF">
        <w:rPr>
          <w:b/>
          <w:sz w:val="28"/>
        </w:rPr>
        <w:t>Mobile operators as banks or vice-versa?</w:t>
      </w:r>
      <w:r w:rsidRPr="001219AF">
        <w:rPr>
          <w:b/>
          <w:sz w:val="28"/>
        </w:rPr>
        <w:t xml:space="preserve"> </w:t>
      </w:r>
      <w:proofErr w:type="gramStart"/>
      <w:r w:rsidRPr="001219AF">
        <w:rPr>
          <w:b/>
          <w:sz w:val="28"/>
        </w:rPr>
        <w:t>and</w:t>
      </w:r>
      <w:proofErr w:type="gramEnd"/>
      <w:r w:rsidRPr="001219AF">
        <w:rPr>
          <w:b/>
          <w:sz w:val="28"/>
        </w:rPr>
        <w:t>: regulators’ interest in the best efficiency of payments</w:t>
      </w:r>
    </w:p>
    <w:p w:rsidR="001219AF" w:rsidRDefault="001219AF" w:rsidP="001219AF">
      <w:pPr>
        <w:rPr>
          <w:b/>
          <w:sz w:val="28"/>
        </w:rPr>
      </w:pPr>
    </w:p>
    <w:p w:rsidR="001219AF" w:rsidRDefault="001219AF" w:rsidP="001219AF">
      <w:pPr>
        <w:rPr>
          <w:sz w:val="24"/>
        </w:rPr>
      </w:pPr>
      <w:r>
        <w:rPr>
          <w:sz w:val="24"/>
        </w:rPr>
        <w:t>Author: Prof. L-F PAU, CBS &amp; Erasmus University</w:t>
      </w:r>
    </w:p>
    <w:p w:rsidR="001219AF" w:rsidRPr="001219AF" w:rsidRDefault="001219AF" w:rsidP="001219AF">
      <w:pPr>
        <w:rPr>
          <w:sz w:val="24"/>
          <w:lang w:val="da-DK"/>
        </w:rPr>
      </w:pPr>
      <w:r w:rsidRPr="001219AF">
        <w:rPr>
          <w:sz w:val="24"/>
          <w:lang w:val="da-DK"/>
        </w:rPr>
        <w:t>Address 1: Solbjergplads 1, DK 2000 Copenhagen F, Denmark</w:t>
      </w:r>
    </w:p>
    <w:p w:rsidR="001219AF" w:rsidRPr="001219AF" w:rsidRDefault="001219AF" w:rsidP="001219AF">
      <w:pPr>
        <w:rPr>
          <w:sz w:val="24"/>
        </w:rPr>
      </w:pPr>
      <w:r w:rsidRPr="001219AF">
        <w:rPr>
          <w:sz w:val="24"/>
        </w:rPr>
        <w:t xml:space="preserve">Email: </w:t>
      </w:r>
      <w:hyperlink r:id="rId5" w:history="1">
        <w:r w:rsidRPr="001219AF">
          <w:rPr>
            <w:rStyle w:val="Lienhypertexte"/>
            <w:sz w:val="24"/>
          </w:rPr>
          <w:t>lpau@nypost.dk</w:t>
        </w:r>
      </w:hyperlink>
    </w:p>
    <w:p w:rsidR="001219AF" w:rsidRPr="001219AF" w:rsidRDefault="001219AF" w:rsidP="001219AF">
      <w:pPr>
        <w:rPr>
          <w:sz w:val="24"/>
        </w:rPr>
      </w:pPr>
      <w:r w:rsidRPr="001219AF">
        <w:rPr>
          <w:sz w:val="24"/>
        </w:rPr>
        <w:t>Telephone: 25884241</w:t>
      </w:r>
    </w:p>
    <w:p w:rsidR="001219AF" w:rsidRPr="001219AF" w:rsidRDefault="001219AF" w:rsidP="001219AF">
      <w:pPr>
        <w:rPr>
          <w:sz w:val="24"/>
        </w:rPr>
      </w:pPr>
      <w:r w:rsidRPr="001219AF">
        <w:rPr>
          <w:sz w:val="24"/>
        </w:rPr>
        <w:t>FAX: dismantled</w:t>
      </w:r>
    </w:p>
    <w:p w:rsidR="001219AF" w:rsidRDefault="001219AF" w:rsidP="001219AF">
      <w:pPr>
        <w:rPr>
          <w:sz w:val="24"/>
        </w:rPr>
      </w:pPr>
    </w:p>
    <w:p w:rsidR="001219AF" w:rsidRPr="001219AF" w:rsidRDefault="001219AF" w:rsidP="001219AF">
      <w:pPr>
        <w:rPr>
          <w:b/>
          <w:sz w:val="28"/>
        </w:rPr>
      </w:pPr>
      <w:r w:rsidRPr="001219AF">
        <w:rPr>
          <w:b/>
          <w:sz w:val="28"/>
        </w:rPr>
        <w:t>Abstract</w:t>
      </w:r>
    </w:p>
    <w:p w:rsidR="001219AF" w:rsidRPr="001219AF" w:rsidRDefault="001219AF" w:rsidP="001219AF">
      <w:pPr>
        <w:rPr>
          <w:sz w:val="24"/>
        </w:rPr>
      </w:pPr>
      <w:r w:rsidRPr="001219AF">
        <w:rPr>
          <w:sz w:val="24"/>
        </w:rPr>
        <w:t xml:space="preserve">This paper addresses the strategic challenges of deposit banks, and payment clearinghouses, posed by the growing role of mobile operators as collectors and payment agents for flows of cash for themselves and between third parties. Through analysis and data from selected operators, it is shown that mobile operators as money flow handlers achieve levels of efficiency, profitability, and risk control comparable to deposit banks. Furthermore, the payment infrastructures deployed by both are found to </w:t>
      </w:r>
      <w:r>
        <w:rPr>
          <w:sz w:val="24"/>
        </w:rPr>
        <w:t>be quite similar, and are analyz</w:t>
      </w:r>
      <w:r w:rsidRPr="001219AF">
        <w:rPr>
          <w:sz w:val="24"/>
        </w:rPr>
        <w:t>ed in relation to financial profitability, strategic challenges and opportunities This paves the way to either mobile operators taking a bigger role, or for banks to tie up such operators to them even more tightly, or for alliances/mergers to take place, all these options being subject to regu</w:t>
      </w:r>
      <w:r>
        <w:rPr>
          <w:sz w:val="24"/>
        </w:rPr>
        <w:t>latory evolution which is analyz</w:t>
      </w:r>
      <w:bookmarkStart w:id="0" w:name="_GoBack"/>
      <w:bookmarkEnd w:id="0"/>
      <w:r w:rsidRPr="001219AF">
        <w:rPr>
          <w:sz w:val="24"/>
        </w:rPr>
        <w:t>ed as well. The consequences of the payment efficiency and architectures are mapped out in operational and regulatory terms.</w:t>
      </w:r>
    </w:p>
    <w:p w:rsidR="001219AF" w:rsidRPr="001219AF" w:rsidRDefault="001219AF" w:rsidP="001219AF">
      <w:pPr>
        <w:rPr>
          <w:sz w:val="24"/>
        </w:rPr>
      </w:pPr>
    </w:p>
    <w:p w:rsidR="001219AF" w:rsidRPr="001219AF" w:rsidRDefault="001219AF" w:rsidP="001219AF">
      <w:pPr>
        <w:rPr>
          <w:b/>
          <w:sz w:val="28"/>
        </w:rPr>
      </w:pPr>
      <w:r w:rsidRPr="001219AF">
        <w:rPr>
          <w:b/>
          <w:sz w:val="28"/>
        </w:rPr>
        <w:t>Keywords</w:t>
      </w:r>
    </w:p>
    <w:p w:rsidR="001219AF" w:rsidRPr="001219AF" w:rsidRDefault="001219AF" w:rsidP="001219AF">
      <w:pPr>
        <w:rPr>
          <w:sz w:val="24"/>
        </w:rPr>
      </w:pPr>
      <w:proofErr w:type="gramStart"/>
      <w:r w:rsidRPr="001219AF">
        <w:rPr>
          <w:sz w:val="24"/>
        </w:rPr>
        <w:t>e-Business</w:t>
      </w:r>
      <w:proofErr w:type="gramEnd"/>
      <w:r w:rsidRPr="001219AF">
        <w:rPr>
          <w:sz w:val="24"/>
        </w:rPr>
        <w:t>, Mobile payments, Mobile operators, Deposit banks, Payment clearinghouses, Banking regulations, Telecommunications regulations</w:t>
      </w:r>
    </w:p>
    <w:sectPr w:rsidR="001219AF" w:rsidRPr="001219A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9AF"/>
    <w:rsid w:val="001219AF"/>
    <w:rsid w:val="004F12D8"/>
    <w:rsid w:val="00B4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19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21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pau@nypost.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1</cp:revision>
  <dcterms:created xsi:type="dcterms:W3CDTF">2015-09-14T19:05:00Z</dcterms:created>
  <dcterms:modified xsi:type="dcterms:W3CDTF">2015-09-14T19:11:00Z</dcterms:modified>
</cp:coreProperties>
</file>