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LONG RUN COINTEGRATION IN ASEAN-4 STOCK MARKET: WHAT WE LEARNED?</w:t>
      </w:r>
    </w:p>
    <w:p>
      <w:pPr>
        <w:spacing w:after="0" w:line="240" w:lineRule="auto"/>
        <w:jc w:val="center"/>
        <w:rPr>
          <w:rFonts w:ascii="Times New Roman" w:hAnsi="Times New Roman" w:cs="Times New Roman"/>
          <w:b/>
          <w:color w:val="000000" w:themeColor="text1"/>
          <w:sz w:val="28"/>
        </w:rPr>
      </w:pPr>
    </w:p>
    <w:p>
      <w:pPr>
        <w:spacing w:after="0"/>
        <w:jc w:val="center"/>
        <w:rPr>
          <w:rFonts w:ascii="Times New Roman" w:hAnsi="Times New Roman" w:cs="Times New Roman"/>
          <w:b/>
          <w:color w:val="000000" w:themeColor="text1"/>
          <w:sz w:val="21"/>
          <w:szCs w:val="16"/>
          <w:vertAlign w:val="superscript"/>
          <w:lang w:val="en-US"/>
        </w:rPr>
      </w:pPr>
      <w:bookmarkStart w:id="0" w:name="_GoBack"/>
      <w:bookmarkEnd w:id="0"/>
      <w:r>
        <w:rPr>
          <w:rFonts w:ascii="Times New Roman" w:hAnsi="Times New Roman" w:cs="Times New Roman"/>
          <w:b/>
          <w:color w:val="000000" w:themeColor="text1"/>
          <w:sz w:val="21"/>
          <w:szCs w:val="16"/>
        </w:rPr>
        <w:t>Eddy Soegiarto K</w:t>
      </w:r>
      <w:r>
        <w:rPr>
          <w:rFonts w:ascii="Times New Roman" w:hAnsi="Times New Roman" w:cs="Times New Roman"/>
          <w:b/>
          <w:color w:val="000000" w:themeColor="text1"/>
          <w:sz w:val="21"/>
          <w:szCs w:val="16"/>
          <w:vertAlign w:val="superscript"/>
        </w:rPr>
        <w:t>1</w:t>
      </w:r>
      <w:r>
        <w:rPr>
          <w:rFonts w:ascii="Times New Roman" w:hAnsi="Times New Roman" w:cs="Times New Roman"/>
          <w:b/>
          <w:color w:val="000000" w:themeColor="text1"/>
          <w:sz w:val="21"/>
          <w:szCs w:val="16"/>
          <w:lang w:val="en-US"/>
        </w:rPr>
        <w:t xml:space="preserve">, </w:t>
      </w:r>
      <w:r>
        <w:rPr>
          <w:rFonts w:ascii="Times New Roman" w:hAnsi="Times New Roman" w:cs="Times New Roman"/>
          <w:b/>
          <w:color w:val="000000" w:themeColor="text1"/>
          <w:sz w:val="21"/>
          <w:szCs w:val="16"/>
        </w:rPr>
        <w:t>Faizal Reza</w:t>
      </w:r>
      <w:r>
        <w:rPr>
          <w:rFonts w:ascii="Times New Roman" w:hAnsi="Times New Roman" w:cs="Times New Roman"/>
          <w:b/>
          <w:color w:val="000000" w:themeColor="text1"/>
          <w:sz w:val="21"/>
          <w:szCs w:val="16"/>
          <w:vertAlign w:val="superscript"/>
        </w:rPr>
        <w:t>1</w:t>
      </w:r>
      <w:r>
        <w:rPr>
          <w:rFonts w:ascii="Times New Roman" w:hAnsi="Times New Roman" w:cs="Times New Roman"/>
          <w:b/>
          <w:color w:val="000000" w:themeColor="text1"/>
          <w:sz w:val="21"/>
          <w:szCs w:val="16"/>
          <w:vertAlign w:val="superscript"/>
          <w:lang w:val="en-US"/>
        </w:rPr>
        <w:t>,</w:t>
      </w:r>
      <w:r>
        <w:rPr>
          <w:rFonts w:ascii="Times New Roman" w:hAnsi="Times New Roman" w:cs="Times New Roman"/>
          <w:b/>
          <w:color w:val="000000" w:themeColor="text1"/>
          <w:sz w:val="21"/>
          <w:szCs w:val="16"/>
          <w:lang w:val="en-US"/>
        </w:rPr>
        <w:t xml:space="preserve"> Adisthy Shabrina Nurqamarani</w:t>
      </w:r>
      <w:r>
        <w:rPr>
          <w:rFonts w:ascii="Times New Roman" w:hAnsi="Times New Roman" w:cs="Times New Roman"/>
          <w:b/>
          <w:color w:val="000000" w:themeColor="text1"/>
          <w:sz w:val="21"/>
          <w:szCs w:val="16"/>
          <w:vertAlign w:val="superscript"/>
        </w:rPr>
        <w:t>1</w:t>
      </w:r>
    </w:p>
    <w:p>
      <w:pPr>
        <w:spacing w:after="0" w:line="240" w:lineRule="auto"/>
        <w:jc w:val="center"/>
        <w:rPr>
          <w:rFonts w:ascii="Times New Roman" w:hAnsi="Times New Roman" w:cs="Times New Roman"/>
          <w:b/>
          <w:color w:val="000000" w:themeColor="text1"/>
          <w:sz w:val="24"/>
        </w:rPr>
      </w:pPr>
    </w:p>
    <w:p>
      <w:pPr>
        <w:spacing w:after="0" w:line="240" w:lineRule="auto"/>
        <w:jc w:val="center"/>
        <w:rPr>
          <w:rFonts w:ascii="Times New Roman" w:hAnsi="Times New Roman" w:cs="Times New Roman"/>
          <w:bCs/>
          <w:color w:val="000000" w:themeColor="text1"/>
          <w:sz w:val="24"/>
          <w:lang w:val="en-US"/>
        </w:rPr>
      </w:pPr>
      <w:r>
        <w:rPr>
          <w:rFonts w:ascii="Times New Roman" w:hAnsi="Times New Roman" w:cs="Times New Roman"/>
          <w:bCs/>
          <w:color w:val="000000" w:themeColor="text1"/>
          <w:sz w:val="24"/>
          <w:lang w:val="en-US"/>
        </w:rPr>
        <w:t>Faculty of Economic</w:t>
      </w:r>
    </w:p>
    <w:p>
      <w:pPr>
        <w:spacing w:after="0" w:line="240" w:lineRule="auto"/>
        <w:jc w:val="center"/>
        <w:rPr>
          <w:rFonts w:ascii="Times New Roman" w:hAnsi="Times New Roman" w:cs="Times New Roman"/>
          <w:bCs/>
          <w:color w:val="000000" w:themeColor="text1"/>
          <w:szCs w:val="22"/>
        </w:rPr>
      </w:pPr>
      <w:r>
        <w:rPr>
          <w:rFonts w:ascii="Times New Roman" w:hAnsi="Times New Roman" w:cs="Times New Roman"/>
          <w:bCs/>
          <w:color w:val="000000" w:themeColor="text1"/>
          <w:sz w:val="24"/>
          <w:vertAlign w:val="superscript"/>
        </w:rPr>
        <w:t>1</w:t>
      </w:r>
      <w:r>
        <w:rPr>
          <w:rFonts w:ascii="Times New Roman" w:hAnsi="Times New Roman" w:cs="Times New Roman"/>
          <w:bCs/>
          <w:color w:val="000000" w:themeColor="text1"/>
          <w:szCs w:val="22"/>
        </w:rPr>
        <w:t>Universitas 17 Agustus 1945 Samarinda, Jl. Ir. H. Juanda No. 80, 75124, Indonesia</w:t>
      </w:r>
    </w:p>
    <w:p>
      <w:pPr>
        <w:spacing w:before="240" w:line="240" w:lineRule="auto"/>
        <w:jc w:val="center"/>
        <w:rPr>
          <w:rFonts w:ascii="Times New Roman" w:hAnsi="Times New Roman" w:cs="Times New Roman"/>
          <w:bCs/>
          <w:color w:val="000000" w:themeColor="text1"/>
          <w:szCs w:val="22"/>
        </w:rPr>
      </w:pPr>
      <w:r>
        <w:rPr>
          <w:rFonts w:ascii="Times New Roman" w:hAnsi="Times New Roman" w:cs="Times New Roman"/>
          <w:bCs/>
          <w:color w:val="000000" w:themeColor="text1"/>
          <w:sz w:val="24"/>
          <w:lang w:eastAsia="id-ID"/>
        </w:rPr>
        <w:pict>
          <v:shape id=" 4" o:spid="_x0000_s1026" o:spt="32" type="#_x0000_t32" style="position:absolute;left:0pt;margin-left:-29.9pt;margin-top:33.55pt;height:0pt;width:510pt;z-index:25166028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">
            <v:path arrowok="t"/>
            <v:fill on="f" focussize="0,0"/>
            <v:stroke weight="1pt"/>
            <v:imagedata o:title=""/>
            <o:lock v:ext="edit"/>
          </v:shape>
        </w:pict>
      </w:r>
      <w:r>
        <w:rPr>
          <w:rFonts w:ascii="Times New Roman" w:hAnsi="Times New Roman" w:cs="Times New Roman"/>
          <w:bCs/>
          <w:color w:val="000000" w:themeColor="text1"/>
          <w:sz w:val="24"/>
          <w:lang w:eastAsia="id-ID"/>
        </w:rPr>
        <w:pict>
          <v:shape id=" -20" o:spid="_x0000_s1027" o:spt="32" type="#_x0000_t32" style="position:absolute;left:0pt;margin-left:-28.4pt;margin-top:32.05pt;height:0pt;width:510pt;z-index:251661312;mso-width-relative:page;mso-height-relative:page;" filled="f" coordsize="21600,21600">
            <v:path arrowok="t"/>
            <v:fill on="f" focussize="0,0"/>
            <v:stroke weight="1pt"/>
            <v:imagedata o:title=""/>
            <o:lock v:ext="edit"/>
          </v:shape>
        </w:pict>
      </w:r>
      <w:r>
        <w:rPr>
          <w:rFonts w:ascii="Times New Roman" w:hAnsi="Times New Roman" w:cs="Times New Roman"/>
          <w:bCs/>
          <w:color w:val="000000" w:themeColor="text1"/>
          <w:szCs w:val="22"/>
        </w:rPr>
        <w:t>Email: reza_9946@yahoo.com</w:t>
      </w:r>
    </w:p>
    <w:p>
      <w:pPr>
        <w:spacing w:after="0" w:line="240" w:lineRule="auto"/>
        <w:jc w:val="center"/>
        <w:rPr>
          <w:rFonts w:ascii="Times New Roman" w:hAnsi="Times New Roman" w:cs="Times New Roman"/>
          <w:b/>
          <w:color w:val="000000" w:themeColor="text1"/>
        </w:rPr>
      </w:pPr>
    </w:p>
    <w:p>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ABSTRACT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ASE</w:t>
      </w:r>
      <w:r>
        <w:rPr>
          <w:rFonts w:ascii="Times New Roman" w:hAnsi="Times New Roman" w:cs="Times New Roman"/>
          <w:color w:val="000000" w:themeColor="text1"/>
          <w:sz w:val="24"/>
          <w:highlight w:val="none"/>
        </w:rPr>
        <w:t>AN-4 is an emerging market that experienced promising developed financial sector in recent years. The interaction betwe</w:t>
      </w:r>
      <w:r>
        <w:rPr>
          <w:rFonts w:ascii="Times New Roman" w:hAnsi="Times New Roman" w:cs="Times New Roman"/>
          <w:color w:val="000000" w:themeColor="text1"/>
          <w:sz w:val="24"/>
          <w:highlight w:val="none"/>
          <w:shd w:val="clear"/>
        </w:rPr>
        <w:t xml:space="preserve">en stock prices and macroeconomic variables has been extensively researched by researchers. </w:t>
      </w:r>
      <w:r>
        <w:rPr>
          <w:rFonts w:ascii="Times New Roman" w:hAnsi="Times New Roman" w:eastAsia="Times New Roman" w:cs="Times New Roman"/>
          <w:color w:val="000000" w:themeColor="text1"/>
          <w:sz w:val="24"/>
          <w:highlight w:val="none"/>
          <w:shd w:val="clear"/>
          <w:lang w:eastAsia="id-ID"/>
        </w:rPr>
        <w:t>By using secondary monthly ASEAN-4 data from January 2009 to December 2017 and using the ARDL estimation, it was found t</w:t>
      </w:r>
      <w:r>
        <w:rPr>
          <w:rFonts w:ascii="Times New Roman" w:hAnsi="Times New Roman" w:eastAsia="Times New Roman" w:cs="Times New Roman"/>
          <w:color w:val="000000" w:themeColor="text1"/>
          <w:sz w:val="24"/>
          <w:highlight w:val="none"/>
          <w:lang w:eastAsia="id-ID"/>
        </w:rPr>
        <w:t xml:space="preserve">hat </w:t>
      </w:r>
      <w:r>
        <w:rPr>
          <w:rFonts w:ascii="Times New Roman" w:hAnsi="Times New Roman" w:cs="Times New Roman"/>
          <w:color w:val="000000" w:themeColor="text1"/>
          <w:sz w:val="24"/>
          <w:highlight w:val="none"/>
        </w:rPr>
        <w:t>exchange rates and GDP had a long-term positive effect on stock prices. While inflation, current account, and GDP have no effect on stock price formation. It is also found that there are co</w:t>
      </w:r>
      <w:r>
        <w:rPr>
          <w:rFonts w:ascii="Times New Roman" w:hAnsi="Times New Roman" w:cs="Times New Roman"/>
          <w:color w:val="000000" w:themeColor="text1"/>
          <w:sz w:val="24"/>
          <w:highlight w:val="none"/>
          <w:lang w:val="en-US"/>
        </w:rPr>
        <w:t>-</w:t>
      </w:r>
      <w:r>
        <w:rPr>
          <w:rFonts w:ascii="Times New Roman" w:hAnsi="Times New Roman" w:cs="Times New Roman"/>
          <w:color w:val="000000" w:themeColor="text1"/>
          <w:sz w:val="24"/>
          <w:highlight w:val="none"/>
        </w:rPr>
        <w:t>integration in the short and long term in four ASEAN-4 countries. To strengthen the results of co</w:t>
      </w:r>
      <w:r>
        <w:rPr>
          <w:rFonts w:ascii="Times New Roman" w:hAnsi="Times New Roman" w:cs="Times New Roman"/>
          <w:color w:val="000000" w:themeColor="text1"/>
          <w:sz w:val="24"/>
          <w:highlight w:val="none"/>
          <w:lang w:val="en-US"/>
        </w:rPr>
        <w:t>-</w:t>
      </w:r>
      <w:r>
        <w:rPr>
          <w:rFonts w:ascii="Times New Roman" w:hAnsi="Times New Roman" w:cs="Times New Roman"/>
          <w:color w:val="000000" w:themeColor="text1"/>
          <w:sz w:val="24"/>
          <w:highlight w:val="none"/>
        </w:rPr>
        <w:t>integration, using "one to one" interactions concluded that inflation, current</w:t>
      </w:r>
      <w:r>
        <w:rPr>
          <w:rFonts w:ascii="Times New Roman" w:hAnsi="Times New Roman" w:cs="Times New Roman"/>
          <w:color w:val="000000" w:themeColor="text1"/>
          <w:sz w:val="24"/>
        </w:rPr>
        <w:t xml:space="preserve"> accounts and interest rates have a very small contribution to the share price in ASEAN-4.</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themeColor="text1"/>
          <w:sz w:val="24"/>
          <w:lang w:eastAsia="id-ID"/>
        </w:rPr>
      </w:pPr>
    </w:p>
    <w:p>
      <w:pPr>
        <w:spacing w:line="360" w:lineRule="auto"/>
        <w:rPr>
          <w:rFonts w:ascii="Times New Roman" w:hAnsi="Times New Roman" w:cs="Times New Roman"/>
          <w:b/>
          <w:i/>
          <w:color w:val="000000" w:themeColor="text1"/>
          <w:szCs w:val="18"/>
        </w:rPr>
      </w:pPr>
      <w:r>
        <w:rPr>
          <w:rFonts w:ascii="Times New Roman" w:hAnsi="Times New Roman" w:cs="Times New Roman"/>
          <w:b/>
          <w:i/>
          <w:color w:val="000000" w:themeColor="text1"/>
          <w:szCs w:val="18"/>
          <w:lang w:eastAsia="id-ID"/>
        </w:rPr>
        <w:pict>
          <v:shape id=" -19" o:spid="_x0000_s1028" o:spt="32" type="#_x0000_t32" style="position:absolute;left:0pt;margin-left:-28.4pt;margin-top:16.3pt;height:0.75pt;width:510pt;z-index:25166233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">
            <v:path arrowok="t"/>
            <v:fill on="f" focussize="0,0"/>
            <v:stroke weight="1pt"/>
            <v:imagedata o:title=""/>
            <o:lock v:ext="edit"/>
          </v:shape>
        </w:pict>
      </w:r>
      <w:r>
        <w:rPr>
          <w:rFonts w:ascii="Times New Roman" w:hAnsi="Times New Roman" w:cs="Times New Roman"/>
          <w:b/>
          <w:i/>
          <w:color w:val="000000" w:themeColor="text1"/>
          <w:szCs w:val="18"/>
        </w:rPr>
        <w:t>Keywords: macroeconomic variables, stock price, ARDL, cointegration.</w:t>
      </w:r>
    </w:p>
    <w:p>
      <w:pPr>
        <w:pStyle w:val="8"/>
        <w:ind w:left="0"/>
        <w:jc w:val="both"/>
        <w:rPr>
          <w:rFonts w:ascii="Times New Roman" w:hAnsi="Times New Roman" w:cs="Times New Roman"/>
          <w:b/>
          <w:color w:val="000000" w:themeColor="text1"/>
          <w:szCs w:val="18"/>
        </w:rPr>
      </w:pPr>
      <w:r>
        <w:rPr>
          <w:rFonts w:ascii="Times New Roman" w:hAnsi="Times New Roman" w:cs="Times New Roman"/>
          <w:b/>
          <w:color w:val="000000" w:themeColor="text1"/>
          <w:szCs w:val="18"/>
        </w:rPr>
        <w:t>Introduction</w:t>
      </w:r>
    </w:p>
    <w:p>
      <w:pPr>
        <w:spacing w:line="360" w:lineRule="auto"/>
        <w:ind w:firstLine="72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The relationship between macroeconomic variables and stock prices has been extensively studied until now, various tests were conducted by researchers to find causality between macroeconomic variables and stock prices, one of the most popular theories is Arbitrage Pricing Theory (APT). Various findings  suggest that the investigation surrounding this issue is far from satisfactory, the difficulty in determining the determinant factors affecting stock prices in APT approach  brings its own challenges for researchers. Huberman and Wang (2005) suggest that based on economic intuition, researchers continously add new factors which are too numerous to mention in the relationship between stock prices and economic variables. Since there is no specific consensus of any determinant factor affecting stock prices, then its result many macroeconomic variables that can be checked in relation to the stock price itself. Even Reza et al. (2018) states that since there are changes in countries behavior in the trade sector, a definite relationship among the variables can not be held on this issue. ASEAN-4 as an emerging market that have potential land for investors to obtain a large yield, uncertainty in the global financial sector is currently characterized by a larger capital inflow to developing countries than any other region in the world.</w:t>
      </w:r>
    </w:p>
    <w:p>
      <w:pPr>
        <w:spacing w:line="360" w:lineRule="auto"/>
        <w:ind w:firstLine="72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The ability of developing countries to create and sustain their economic growth also causes the financial sector in these countries to be seen as more secure and stable. For examples, the economic growth of India and Indonesia in recent years have been a magnet for investors to invest in developing countries. Based on some reports in the long term conditions in developing countries can be said positive. Overall contribution of developing countries to global economic growth in 2015-2016 amounted to 58.15%. In 2017, the growth of Gross Domestic Product of Southeast Asia countries is quite encouraging where Indonesia reaching 5.1%, Cambodia 6.9%, Malaysia 5.9%, Philippines and Myanmar 6.7%, Vietnam 6.8% Thailand and Singapore respectively 3.9% and 3.6%. Based on data from the IMF and Word Bank, during the period 1990-2017 the average growth of exporters of commodities such as Malaysia and Indonesia amounted to 5.3%, while the growth of importers of commodities such as Thailand and the Philippines amounted to 4.8%.</w:t>
      </w:r>
    </w:p>
    <w:p>
      <w:pPr>
        <w:spacing w:line="360" w:lineRule="auto"/>
        <w:ind w:firstLine="72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The good prospect in the emerging market financial sector is in consequence of the macroeconomic factors that have been maintained in recent years. Despite strong export performance and strong domestic demand, some major economies in Asia such as China, Indonesia, Malaysia and Vietnam are conducting fiscal consolidation efforts in 2018. Historically, the interaction between macroeconomic variables and the financial sector has been studied by experts for few decades. Zubair (2013) using Granger Causality states that there is no relationship between monetary indicators (exchange rates and M2) before and during Nigeria's financial crisis. Wickremansinghe (2016) using emerging market data tested the relationship between macroeconomic variables and stock price during 1985 to 2004. It was concluded that there are a long-term and short-run relationship between stock prices and macroeconomic variables in Sri Lanka. Belgacem (2013) uses the macroeconomic variable announcement on French stock prices, concluding that the importance of information about the United States economy on the development of the world economy.</w:t>
      </w:r>
    </w:p>
    <w:p>
      <w:pPr>
        <w:spacing w:line="360" w:lineRule="auto"/>
        <w:ind w:firstLine="72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Bahloul et. al. (2017) with a sample of developed and developing countries found that during 2002-2014 the index of Islamic stocks in developed and developing countries was influenced by money supply and conventional stock returns both on high volatility and low volatility regimes, while other macroeconomic variables concluded did not affect index of Islamic stocks at high volatility regime. Although there is few research about interaction of stock price and macroeconomic variables on emerging markets that have identical characters in one region in Asia, but it still yet to be found how macroeconomic variables work to influence stock prices in exact way. This paper aims to see whether there is a long-term relationship between macroeconomic variables and stock prices in ASEAN-4 countries. This will help us to understand the channel and how macroeconomic force influenced the stock price. The remainder of this paper will be presented as follows: section two is a literature review, section three provide research methodology, section four discuss the results and finally the section five is conclusions of the paper.</w:t>
      </w:r>
    </w:p>
    <w:p>
      <w:pPr>
        <w:ind w:left="426" w:hanging="426"/>
        <w:jc w:val="both"/>
        <w:rPr>
          <w:rFonts w:ascii="Times New Roman" w:hAnsi="Times New Roman" w:cs="Times New Roman"/>
          <w:b/>
          <w:color w:val="000000" w:themeColor="text1"/>
          <w:szCs w:val="22"/>
        </w:rPr>
      </w:pPr>
      <w:r>
        <w:rPr>
          <w:rFonts w:ascii="Times New Roman" w:hAnsi="Times New Roman" w:cs="Times New Roman"/>
          <w:b/>
          <w:color w:val="000000" w:themeColor="text1"/>
          <w:szCs w:val="22"/>
        </w:rPr>
        <w:t>Literature Review</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There is one big theory in asset pricing theory that underlies macroeconomic variable relationship and stock price namely Arbitrage Pricing Theory (APT). This theory states that the formation of stock price is not only influenced by single factor β risk as what as Capital Asset Pricing Model (CAPM) told at the beginning of asset pricing model development. Although some experts argue that CAPM is more intuitive and theoretically easy to apply, however there are several reasons why APT is seen as having an advantage over CAPM. First, APT does not require assumption of distribution from asset return. Secondly, we no need the strong assumptions about utility like in the CAPM derivation. Third, with consider some risk sources in APT so that the forecast will be better than CAPM. Finally, there is no need for the special role of an efficient market portfolio as in the CAPM theory (Rasiah and Kim, 2011).</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The formation of stock prices in APT can be said to be influenced by macroeconomic factors. Until now a lot of economic factors that have been analyzed by experts in relation to stock prices in various capital markets in the world. Some variables that are often associated with stock prices include exchange rates, inflation, interest rates, current accounts, GDP, oil prices, etc. Because APT considered many factors that affected stock market,it also seen asa weakness of APT that not considered have a good theoretical foundation on the habits of investors. Some experts believe that it is dangerous to focus only on mean-beta space as some studies show that the generating return asset process is also influenced by other factors such as Earning Price Ratio, firm size, etc. (Rasiah and Kim, 2011). First attempts to examine the interaction between macroeconomic variables and stock returns were performed by Chen, Roll, and Ross (1986) who found that stock returns in the US were also influenced by macroeconomic factors.</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Further studies using macroeconomic variables show some empirical findings that vary from one another. Yau and Nieh (2009) with non-linear regression stated that there is a long-term relationship between the New Taiwan Dollar (NTD) exchange rate against Japanese Yen (JPY) with stock prices in Japan and Taiwan from January 1991 to March 2008. Their research also found that there is a long-term cointegration between the NTD / USD exchange rate against the stock price in Taiwan. Umoru and Asekome (2013) conclude that there is a bidirectional cointegration and causality between Naira's exchange rate against US Dollar and the stock price in Nigeria. These results support flow and stock-oriented economic theory. Sharma and Mahendru (2010) using weekly data found that there was an impact between exchange rates and gold prices on stock prices during January 2008 to January 2009 in India. Rahman and Uddin (2009) found no cointegration and causality among stock prices and exchange rates in the three South Asian countries namely Bangladesh, India and Pakistan.</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While Parsva and Tang (2017) found a biderectional causality between exchange rates and stock prices in three of the four Middle East countries namely Iran, Oman and Saudi Arabia during January 2004 and December 2011, Quadir (2012) found that although there was a positive relationship between macroeconomic variables i.e treasury bill interest rate and production industrial sector  on stock returns in Dhaka Exchange Rate during January 2000 to February 2007, but he concluded no significance among the variables studied. Patel (2012) states that in the long run there is a relationship between macroeconomic variables and stock indices in India from January 1991 to December 2011. Exchange rates, industrial production indices, inflation, money supply, and commodity prices such as gold, oil and silver is also an important factor in determining the stock index. Ouma and Muriu (2014) concluded that during 2003-2013 using APT and CAPM, money supply, exchange rates, and inflation affected stock returns in Kenya, while the interest rate does not affect the stock return. From many studies, a general conclusion can be drawn is from Pilinkus (2011) that stated investors need to pay attention to the different effects of macroeconomic variables on stock indices as a result of speculative motives. He stated that the relationship between stock index and macroeconomic variables is more reliable in the long run.</w:t>
      </w:r>
    </w:p>
    <w:p>
      <w:pPr>
        <w:ind w:left="426" w:hanging="426"/>
        <w:jc w:val="both"/>
        <w:rPr>
          <w:rFonts w:ascii="Times New Roman" w:hAnsi="Times New Roman" w:cs="Times New Roman"/>
          <w:b/>
          <w:color w:val="000000" w:themeColor="text1"/>
          <w:szCs w:val="22"/>
        </w:rPr>
      </w:pPr>
      <w:r>
        <w:rPr>
          <w:rFonts w:ascii="Times New Roman" w:hAnsi="Times New Roman" w:cs="Times New Roman"/>
          <w:b/>
          <w:color w:val="000000" w:themeColor="text1"/>
          <w:szCs w:val="22"/>
        </w:rPr>
        <w:t>Methodology</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In this paper we use monthly data of stock price and five macroeconomic variables i.e exchange rate, inflation, interest rate, current account, and GDP from January 2009 until December 2017. Stock price data accessed from investing.com, while for macroeconomic variables obtained from central banks and statistical authority of each country. To ensure validity data, we also check data from other sources such as from the World Bank, IMF, and Asian Development Bank (ADB) reports. To estimate the interaction between stock prices and macroeconomic variables in ASEAN-4 countries, we will follow the following equation:</w:t>
      </w:r>
    </w:p>
    <w:p>
      <w:pPr>
        <w:spacing w:line="360" w:lineRule="auto"/>
        <w:ind w:firstLine="720"/>
        <w:jc w:val="center"/>
        <w:rPr>
          <w:rFonts w:ascii="Times New Roman" w:hAnsi="Times New Roman" w:cs="Times New Roman"/>
          <w:szCs w:val="22"/>
        </w:rPr>
      </w:pPr>
      <w:r>
        <w:rPr>
          <w:rFonts w:ascii="Times New Roman" w:hAnsi="Times New Roman" w:cs="Times New Roman"/>
          <w:i/>
          <w:szCs w:val="22"/>
        </w:rPr>
        <w:t>SP</w:t>
      </w:r>
      <w:r>
        <w:rPr>
          <w:rFonts w:ascii="Times New Roman" w:hAnsi="Times New Roman" w:cs="Times New Roman"/>
          <w:i/>
          <w:szCs w:val="22"/>
          <w:vertAlign w:val="subscript"/>
        </w:rPr>
        <w:t>t</w:t>
      </w:r>
      <w:r>
        <w:rPr>
          <w:rFonts w:ascii="Times New Roman" w:hAnsi="Times New Roman" w:cs="Times New Roman"/>
          <w:i/>
          <w:szCs w:val="22"/>
        </w:rPr>
        <w:t xml:space="preserve"> = α</w:t>
      </w:r>
      <w:r>
        <w:rPr>
          <w:rFonts w:ascii="Times New Roman" w:hAnsi="Times New Roman" w:cs="Times New Roman"/>
          <w:i/>
          <w:szCs w:val="22"/>
          <w:vertAlign w:val="subscript"/>
        </w:rPr>
        <w:t>0</w:t>
      </w:r>
      <w:r>
        <w:rPr>
          <w:rFonts w:ascii="Times New Roman" w:hAnsi="Times New Roman" w:cs="Times New Roman"/>
          <w:i/>
          <w:szCs w:val="22"/>
        </w:rPr>
        <w:t>+ α</w:t>
      </w:r>
      <w:r>
        <w:rPr>
          <w:rFonts w:ascii="Times New Roman" w:hAnsi="Times New Roman" w:cs="Times New Roman"/>
          <w:i/>
          <w:szCs w:val="22"/>
          <w:vertAlign w:val="subscript"/>
        </w:rPr>
        <w:t>1</w:t>
      </w:r>
      <w:r>
        <w:rPr>
          <w:rFonts w:ascii="Times New Roman" w:hAnsi="Times New Roman" w:cs="Times New Roman"/>
          <w:i/>
          <w:szCs w:val="22"/>
        </w:rPr>
        <w:t>ExR</w:t>
      </w:r>
      <w:r>
        <w:rPr>
          <w:rFonts w:ascii="Times New Roman" w:hAnsi="Times New Roman" w:cs="Times New Roman"/>
          <w:i/>
          <w:szCs w:val="22"/>
          <w:vertAlign w:val="subscript"/>
        </w:rPr>
        <w:t>t</w:t>
      </w:r>
      <w:r>
        <w:rPr>
          <w:rFonts w:ascii="Times New Roman" w:hAnsi="Times New Roman" w:cs="Times New Roman"/>
          <w:i/>
          <w:szCs w:val="22"/>
        </w:rPr>
        <w:t xml:space="preserve"> + α</w:t>
      </w:r>
      <w:r>
        <w:rPr>
          <w:rFonts w:ascii="Times New Roman" w:hAnsi="Times New Roman" w:cs="Times New Roman"/>
          <w:i/>
          <w:szCs w:val="22"/>
          <w:vertAlign w:val="subscript"/>
        </w:rPr>
        <w:t>2</w:t>
      </w:r>
      <w:r>
        <w:rPr>
          <w:rFonts w:ascii="Times New Roman" w:hAnsi="Times New Roman" w:cs="Times New Roman"/>
          <w:i/>
          <w:szCs w:val="22"/>
        </w:rPr>
        <w:t>Inf</w:t>
      </w:r>
      <w:r>
        <w:rPr>
          <w:rFonts w:ascii="Times New Roman" w:hAnsi="Times New Roman" w:cs="Times New Roman"/>
          <w:i/>
          <w:szCs w:val="22"/>
          <w:vertAlign w:val="subscript"/>
        </w:rPr>
        <w:t>t</w:t>
      </w:r>
      <w:r>
        <w:rPr>
          <w:rFonts w:ascii="Times New Roman" w:hAnsi="Times New Roman" w:cs="Times New Roman"/>
          <w:i/>
          <w:szCs w:val="22"/>
        </w:rPr>
        <w:t xml:space="preserve"> + α</w:t>
      </w:r>
      <w:r>
        <w:rPr>
          <w:rFonts w:ascii="Times New Roman" w:hAnsi="Times New Roman" w:cs="Times New Roman"/>
          <w:i/>
          <w:szCs w:val="22"/>
          <w:vertAlign w:val="subscript"/>
        </w:rPr>
        <w:t>3</w:t>
      </w:r>
      <w:r>
        <w:rPr>
          <w:rFonts w:ascii="Times New Roman" w:hAnsi="Times New Roman" w:cs="Times New Roman"/>
          <w:i/>
          <w:szCs w:val="22"/>
        </w:rPr>
        <w:t>CuA</w:t>
      </w:r>
      <w:r>
        <w:rPr>
          <w:rFonts w:ascii="Times New Roman" w:hAnsi="Times New Roman" w:cs="Times New Roman"/>
          <w:i/>
          <w:szCs w:val="22"/>
          <w:vertAlign w:val="subscript"/>
        </w:rPr>
        <w:t>t</w:t>
      </w:r>
      <w:r>
        <w:rPr>
          <w:rFonts w:ascii="Times New Roman" w:hAnsi="Times New Roman" w:cs="Times New Roman"/>
          <w:i/>
          <w:szCs w:val="22"/>
        </w:rPr>
        <w:t xml:space="preserve"> +α</w:t>
      </w:r>
      <w:r>
        <w:rPr>
          <w:rFonts w:ascii="Times New Roman" w:hAnsi="Times New Roman" w:cs="Times New Roman"/>
          <w:i/>
          <w:szCs w:val="22"/>
          <w:vertAlign w:val="subscript"/>
        </w:rPr>
        <w:t>4</w:t>
      </w:r>
      <w:r>
        <w:rPr>
          <w:rFonts w:ascii="Times New Roman" w:hAnsi="Times New Roman" w:cs="Times New Roman"/>
          <w:i/>
          <w:szCs w:val="22"/>
        </w:rPr>
        <w:t>InRt + α</w:t>
      </w:r>
      <w:r>
        <w:rPr>
          <w:rFonts w:ascii="Times New Roman" w:hAnsi="Times New Roman" w:cs="Times New Roman"/>
          <w:i/>
          <w:szCs w:val="22"/>
          <w:vertAlign w:val="subscript"/>
        </w:rPr>
        <w:t>5</w:t>
      </w:r>
      <w:r>
        <w:rPr>
          <w:rFonts w:ascii="Times New Roman" w:hAnsi="Times New Roman" w:cs="Times New Roman"/>
          <w:i/>
          <w:szCs w:val="22"/>
        </w:rPr>
        <w:t>GDP</w:t>
      </w:r>
      <w:r>
        <w:rPr>
          <w:rFonts w:ascii="Times New Roman" w:hAnsi="Times New Roman" w:cs="Times New Roman"/>
          <w:i/>
          <w:szCs w:val="22"/>
          <w:vertAlign w:val="subscript"/>
        </w:rPr>
        <w:t>t</w:t>
      </w:r>
      <w:r>
        <w:rPr>
          <w:rFonts w:ascii="Times New Roman" w:hAnsi="Times New Roman" w:cs="Times New Roman"/>
          <w:i/>
          <w:szCs w:val="22"/>
        </w:rPr>
        <w:t xml:space="preserve"> + e</w:t>
      </w:r>
      <w:r>
        <w:rPr>
          <w:rFonts w:ascii="Times New Roman" w:hAnsi="Times New Roman" w:cs="Times New Roman"/>
          <w:i/>
          <w:szCs w:val="22"/>
          <w:vertAlign w:val="subscript"/>
        </w:rPr>
        <w:t>t</w:t>
      </w:r>
      <w:r>
        <w:rPr>
          <w:rFonts w:ascii="Times New Roman" w:hAnsi="Times New Roman" w:cs="Times New Roman"/>
          <w:szCs w:val="22"/>
          <w:vertAlign w:val="subscript"/>
        </w:rPr>
        <w:t xml:space="preserve"> </w:t>
      </w:r>
      <w:r>
        <w:rPr>
          <w:rFonts w:ascii="Times New Roman" w:hAnsi="Times New Roman" w:cs="Times New Roman"/>
          <w:szCs w:val="22"/>
        </w:rPr>
        <w:t>......... (1)</w:t>
      </w:r>
    </w:p>
    <w:p>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Where α</w:t>
      </w:r>
      <w:r>
        <w:rPr>
          <w:rFonts w:ascii="Times New Roman" w:hAnsi="Times New Roman" w:cs="Times New Roman"/>
          <w:color w:val="000000" w:themeColor="text1"/>
          <w:szCs w:val="22"/>
          <w:vertAlign w:val="subscript"/>
        </w:rPr>
        <w:t>0</w:t>
      </w:r>
      <w:r>
        <w:rPr>
          <w:rFonts w:ascii="Times New Roman" w:hAnsi="Times New Roman" w:cs="Times New Roman"/>
          <w:color w:val="000000" w:themeColor="text1"/>
          <w:szCs w:val="22"/>
        </w:rPr>
        <w:t xml:space="preserve"> is a constant, α</w:t>
      </w:r>
      <w:r>
        <w:rPr>
          <w:rFonts w:ascii="Times New Roman" w:hAnsi="Times New Roman" w:cs="Times New Roman"/>
          <w:color w:val="000000" w:themeColor="text1"/>
          <w:szCs w:val="22"/>
          <w:vertAlign w:val="subscript"/>
        </w:rPr>
        <w:t>i</w:t>
      </w:r>
      <w:r>
        <w:rPr>
          <w:rFonts w:ascii="Times New Roman" w:hAnsi="Times New Roman" w:cs="Times New Roman"/>
          <w:color w:val="000000" w:themeColor="text1"/>
          <w:szCs w:val="22"/>
        </w:rPr>
        <w:t xml:space="preserve"> is the coefficient where </w:t>
      </w:r>
      <w:r>
        <w:rPr>
          <w:rFonts w:ascii="Times New Roman" w:hAnsi="Times New Roman" w:cs="Times New Roman"/>
          <w:i/>
          <w:color w:val="000000" w:themeColor="text1"/>
          <w:szCs w:val="22"/>
        </w:rPr>
        <w:t xml:space="preserve">i </w:t>
      </w:r>
      <w:r>
        <w:rPr>
          <w:rFonts w:ascii="Times New Roman" w:hAnsi="Times New Roman" w:cs="Times New Roman"/>
          <w:color w:val="000000" w:themeColor="text1"/>
          <w:szCs w:val="22"/>
        </w:rPr>
        <w:t>= 1, 2, ..., n. SP is the stock price, ExR is the  exchange rate of each country against US Dollar, while Inf is inflation, CuA is current account, InR and GDP is the interest rate and Gross Domestic Product, and e</w:t>
      </w:r>
      <w:r>
        <w:rPr>
          <w:rFonts w:ascii="Times New Roman" w:hAnsi="Times New Roman" w:cs="Times New Roman"/>
          <w:color w:val="000000" w:themeColor="text1"/>
          <w:szCs w:val="22"/>
          <w:vertAlign w:val="subscript"/>
        </w:rPr>
        <w:t>t</w:t>
      </w:r>
      <w:r>
        <w:rPr>
          <w:rFonts w:ascii="Times New Roman" w:hAnsi="Times New Roman" w:cs="Times New Roman"/>
          <w:color w:val="000000" w:themeColor="text1"/>
          <w:szCs w:val="22"/>
        </w:rPr>
        <w:t xml:space="preserve"> is error term. The existence of different order of integration in variables that we estimate can be used by Autoregressive Distributed Lag Model (ARDL) which can we write in the following form:</w:t>
      </w:r>
    </w:p>
    <w:p>
      <w:pPr>
        <w:spacing w:line="360" w:lineRule="auto"/>
        <w:jc w:val="center"/>
        <w:rPr>
          <w:rFonts w:ascii="Times New Roman" w:hAnsi="Times New Roman" w:cs="Times New Roman"/>
          <w:szCs w:val="22"/>
        </w:rPr>
      </w:pPr>
      <w:r>
        <w:rPr>
          <w:rFonts w:ascii="Times New Roman" w:hAnsi="Times New Roman" w:cs="Times New Roman"/>
          <w:i/>
          <w:szCs w:val="22"/>
        </w:rPr>
        <w:t>SP</w:t>
      </w:r>
      <w:r>
        <w:rPr>
          <w:rFonts w:ascii="Times New Roman" w:hAnsi="Times New Roman" w:cs="Times New Roman"/>
          <w:i/>
          <w:szCs w:val="22"/>
          <w:vertAlign w:val="subscript"/>
        </w:rPr>
        <w:t xml:space="preserve">t </w:t>
      </w:r>
      <w:r>
        <w:rPr>
          <w:rFonts w:ascii="Times New Roman" w:hAnsi="Times New Roman" w:cs="Times New Roman"/>
          <w:i/>
          <w:szCs w:val="22"/>
        </w:rPr>
        <w:t>= β</w:t>
      </w:r>
      <w:r>
        <w:rPr>
          <w:rFonts w:ascii="Times New Roman" w:hAnsi="Times New Roman" w:cs="Times New Roman"/>
          <w:i/>
          <w:szCs w:val="22"/>
          <w:vertAlign w:val="subscript"/>
        </w:rPr>
        <w:t xml:space="preserve">0 </w:t>
      </w:r>
      <w:r>
        <w:rPr>
          <w:rFonts w:ascii="Times New Roman" w:hAnsi="Times New Roman" w:cs="Times New Roman"/>
          <w:i/>
          <w:szCs w:val="22"/>
        </w:rPr>
        <w:t>+ γ</w:t>
      </w:r>
      <w:r>
        <w:rPr>
          <w:rFonts w:ascii="Times New Roman" w:hAnsi="Times New Roman" w:cs="Times New Roman"/>
          <w:i/>
          <w:szCs w:val="22"/>
          <w:vertAlign w:val="subscript"/>
        </w:rPr>
        <w:t>0</w:t>
      </w:r>
      <w:r>
        <w:rPr>
          <w:rFonts w:ascii="Times New Roman" w:hAnsi="Times New Roman" w:cs="Times New Roman"/>
          <w:i/>
          <w:szCs w:val="22"/>
        </w:rPr>
        <w:t>ExR</w:t>
      </w:r>
      <w:r>
        <w:rPr>
          <w:rFonts w:ascii="Times New Roman" w:hAnsi="Times New Roman" w:cs="Times New Roman"/>
          <w:i/>
          <w:szCs w:val="22"/>
          <w:vertAlign w:val="subscript"/>
        </w:rPr>
        <w:t xml:space="preserve">t </w:t>
      </w:r>
      <w:r>
        <w:rPr>
          <w:rFonts w:ascii="Times New Roman" w:hAnsi="Times New Roman" w:cs="Times New Roman"/>
          <w:i/>
          <w:szCs w:val="22"/>
        </w:rPr>
        <w:t>+ δ</w:t>
      </w:r>
      <w:r>
        <w:rPr>
          <w:rFonts w:ascii="Times New Roman" w:hAnsi="Times New Roman" w:cs="Times New Roman"/>
          <w:i/>
          <w:szCs w:val="22"/>
          <w:vertAlign w:val="subscript"/>
        </w:rPr>
        <w:t>0</w:t>
      </w:r>
      <w:r>
        <w:rPr>
          <w:rFonts w:ascii="Times New Roman" w:hAnsi="Times New Roman" w:cs="Times New Roman"/>
          <w:i/>
          <w:szCs w:val="22"/>
        </w:rPr>
        <w:t>Inf</w:t>
      </w:r>
      <w:r>
        <w:rPr>
          <w:rFonts w:ascii="Times New Roman" w:hAnsi="Times New Roman" w:cs="Times New Roman"/>
          <w:i/>
          <w:szCs w:val="22"/>
          <w:vertAlign w:val="subscript"/>
        </w:rPr>
        <w:t xml:space="preserve">t </w:t>
      </w:r>
      <w:r>
        <w:rPr>
          <w:rFonts w:ascii="Times New Roman" w:hAnsi="Times New Roman" w:cs="Times New Roman"/>
          <w:i/>
          <w:szCs w:val="22"/>
        </w:rPr>
        <w:t>+ φ</w:t>
      </w:r>
      <w:r>
        <w:rPr>
          <w:rFonts w:ascii="Times New Roman" w:hAnsi="Times New Roman" w:cs="Times New Roman"/>
          <w:i/>
          <w:szCs w:val="22"/>
          <w:vertAlign w:val="subscript"/>
        </w:rPr>
        <w:t>0</w:t>
      </w:r>
      <w:r>
        <w:rPr>
          <w:rFonts w:ascii="Times New Roman" w:hAnsi="Times New Roman" w:cs="Times New Roman"/>
          <w:i/>
          <w:szCs w:val="22"/>
        </w:rPr>
        <w:t>CuA</w:t>
      </w:r>
      <w:r>
        <w:rPr>
          <w:rFonts w:ascii="Times New Roman" w:hAnsi="Times New Roman" w:cs="Times New Roman"/>
          <w:i/>
          <w:szCs w:val="22"/>
          <w:vertAlign w:val="subscript"/>
        </w:rPr>
        <w:t>t</w:t>
      </w:r>
      <w:r>
        <w:rPr>
          <w:rFonts w:ascii="Times New Roman" w:hAnsi="Times New Roman" w:cs="Times New Roman"/>
          <w:i/>
          <w:szCs w:val="22"/>
        </w:rPr>
        <w:t xml:space="preserve"> + ϕ</w:t>
      </w:r>
      <w:r>
        <w:rPr>
          <w:rFonts w:ascii="Times New Roman" w:hAnsi="Times New Roman" w:cs="Times New Roman"/>
          <w:i/>
          <w:szCs w:val="22"/>
          <w:vertAlign w:val="subscript"/>
        </w:rPr>
        <w:t>0</w:t>
      </w:r>
      <w:r>
        <w:rPr>
          <w:rFonts w:ascii="Times New Roman" w:hAnsi="Times New Roman" w:cs="Times New Roman"/>
          <w:i/>
          <w:szCs w:val="22"/>
        </w:rPr>
        <w:t>InR</w:t>
      </w:r>
      <w:r>
        <w:rPr>
          <w:rFonts w:ascii="Times New Roman" w:hAnsi="Times New Roman" w:cs="Times New Roman"/>
          <w:i/>
          <w:szCs w:val="22"/>
          <w:vertAlign w:val="subscript"/>
        </w:rPr>
        <w:t>t</w:t>
      </w:r>
      <w:r>
        <w:rPr>
          <w:rFonts w:ascii="Times New Roman" w:hAnsi="Times New Roman" w:cs="Times New Roman"/>
          <w:i/>
          <w:szCs w:val="22"/>
        </w:rPr>
        <w:t xml:space="preserve"> + θ</w:t>
      </w:r>
      <w:r>
        <w:rPr>
          <w:rFonts w:ascii="Times New Roman" w:hAnsi="Times New Roman" w:cs="Times New Roman"/>
          <w:i/>
          <w:szCs w:val="22"/>
          <w:vertAlign w:val="subscript"/>
        </w:rPr>
        <w:t>0</w:t>
      </w:r>
      <w:r>
        <w:rPr>
          <w:rFonts w:ascii="Times New Roman" w:hAnsi="Times New Roman" w:cs="Times New Roman"/>
          <w:i/>
          <w:szCs w:val="22"/>
        </w:rPr>
        <w:t>GDP</w:t>
      </w:r>
      <w:r>
        <w:rPr>
          <w:rFonts w:ascii="Times New Roman" w:hAnsi="Times New Roman" w:cs="Times New Roman"/>
          <w:i/>
          <w:szCs w:val="22"/>
          <w:vertAlign w:val="subscript"/>
        </w:rPr>
        <w:t>t</w:t>
      </w:r>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βiSPt-i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γiExRt-i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δiInft-i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φiCuAt-i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ϕiInRt-i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n</m:t>
            </m:r>
            <m:ctrlPr>
              <w:rPr>
                <w:rFonts w:ascii="Cambria Math" w:hAnsi="Cambria Math" w:cs="Times New Roman"/>
                <w:i/>
                <w:szCs w:val="22"/>
              </w:rPr>
            </m:ctrlPr>
          </m:sup>
          <m:e>
            <m:r>
              <w:rPr>
                <w:rFonts w:ascii="Cambria Math" w:hAnsi="Cambria Math" w:cs="Times New Roman"/>
                <w:szCs w:val="22"/>
              </w:rPr>
              <m:t>θiGDPt-i</m:t>
            </m:r>
            <m:ctrlPr>
              <w:rPr>
                <w:rFonts w:ascii="Cambria Math" w:hAnsi="Cambria Math" w:cs="Times New Roman"/>
                <w:i/>
                <w:szCs w:val="22"/>
              </w:rPr>
            </m:ctrlPr>
          </m:e>
        </m:nary>
      </m:oMath>
      <w:r>
        <w:rPr>
          <w:rFonts w:ascii="Times New Roman" w:hAnsi="Times New Roman" w:cs="Times New Roman"/>
          <w:i/>
          <w:szCs w:val="22"/>
        </w:rPr>
        <w:t xml:space="preserve"> + ε</w:t>
      </w:r>
      <w:r>
        <w:rPr>
          <w:rFonts w:ascii="Times New Roman" w:hAnsi="Times New Roman" w:cs="Times New Roman"/>
          <w:i/>
          <w:szCs w:val="22"/>
          <w:vertAlign w:val="subscript"/>
        </w:rPr>
        <w:t>t</w:t>
      </w:r>
      <w:r>
        <w:rPr>
          <w:rFonts w:ascii="Times New Roman" w:hAnsi="Times New Roman" w:cs="Times New Roman"/>
          <w:szCs w:val="22"/>
          <w:vertAlign w:val="subscript"/>
        </w:rPr>
        <w:t xml:space="preserve"> </w:t>
      </w:r>
      <w:r>
        <w:rPr>
          <w:rFonts w:ascii="Times New Roman" w:hAnsi="Times New Roman" w:cs="Times New Roman"/>
          <w:szCs w:val="22"/>
        </w:rPr>
        <w:t>.......... (2)</w:t>
      </w:r>
    </w:p>
    <w:p>
      <w:pPr>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From equation (2), we can find for the cointegration of ARDL with following equation:</w:t>
      </w:r>
    </w:p>
    <w:p>
      <w:pPr>
        <w:spacing w:line="360" w:lineRule="auto"/>
        <w:jc w:val="center"/>
        <w:rPr>
          <w:rFonts w:ascii="Times New Roman" w:hAnsi="Times New Roman" w:cs="Times New Roman"/>
          <w:szCs w:val="22"/>
        </w:rPr>
      </w:pPr>
      <w:r>
        <w:rPr>
          <w:rFonts w:ascii="Times New Roman" w:hAnsi="Times New Roman" w:cs="Times New Roman"/>
          <w:i/>
          <w:szCs w:val="22"/>
        </w:rPr>
        <w:t>ΔSP</w:t>
      </w:r>
      <w:r>
        <w:rPr>
          <w:rFonts w:ascii="Times New Roman" w:hAnsi="Times New Roman" w:cs="Times New Roman"/>
          <w:i/>
          <w:szCs w:val="22"/>
          <w:vertAlign w:val="subscript"/>
        </w:rPr>
        <w:t xml:space="preserve">t </w:t>
      </w:r>
      <w:r>
        <w:rPr>
          <w:rFonts w:ascii="Times New Roman" w:hAnsi="Times New Roman" w:cs="Times New Roman"/>
          <w:i/>
          <w:szCs w:val="22"/>
        </w:rPr>
        <w:t>= Ψ</w:t>
      </w:r>
      <w:r>
        <w:rPr>
          <w:rFonts w:ascii="Times New Roman" w:hAnsi="Times New Roman" w:cs="Times New Roman"/>
          <w:i/>
          <w:szCs w:val="22"/>
          <w:vertAlign w:val="subscript"/>
        </w:rPr>
        <w:t xml:space="preserve">0 </w:t>
      </w:r>
      <w:r>
        <w:rPr>
          <w:rFonts w:ascii="Times New Roman" w:hAnsi="Times New Roman" w:cs="Times New Roman"/>
          <w:i/>
          <w:szCs w:val="22"/>
        </w:rPr>
        <w:t xml:space="preserve">+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BiΔExRt-i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CiΔInft-i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DiΔCuAt-i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EiΔInRt-i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FiΔGDPt-i</m:t>
            </m:r>
            <m:ctrlPr>
              <w:rPr>
                <w:rFonts w:ascii="Cambria Math" w:hAnsi="Cambria Math" w:cs="Times New Roman"/>
                <w:i/>
                <w:szCs w:val="22"/>
              </w:rPr>
            </m:ctrlPr>
          </m:e>
        </m:nary>
      </m:oMath>
      <w:r>
        <w:rPr>
          <w:rFonts w:ascii="Times New Roman" w:hAnsi="Times New Roman" w:cs="Times New Roman"/>
          <w:i/>
          <w:szCs w:val="22"/>
        </w:rPr>
        <w:t xml:space="preserve"> + ρ</w:t>
      </w:r>
      <w:r>
        <w:rPr>
          <w:rFonts w:ascii="Times New Roman" w:hAnsi="Times New Roman" w:cs="Times New Roman"/>
          <w:i/>
          <w:szCs w:val="22"/>
          <w:vertAlign w:val="subscript"/>
        </w:rPr>
        <w:t>1</w:t>
      </w:r>
      <w:r>
        <w:rPr>
          <w:rFonts w:ascii="Times New Roman" w:hAnsi="Times New Roman" w:cs="Times New Roman"/>
          <w:i/>
          <w:szCs w:val="22"/>
        </w:rPr>
        <w:t>SP</w:t>
      </w:r>
      <w:r>
        <w:rPr>
          <w:rFonts w:ascii="Times New Roman" w:hAnsi="Times New Roman" w:cs="Times New Roman"/>
          <w:i/>
          <w:szCs w:val="22"/>
          <w:vertAlign w:val="subscript"/>
        </w:rPr>
        <w:t>t-1</w:t>
      </w:r>
      <w:r>
        <w:rPr>
          <w:rFonts w:ascii="Times New Roman" w:hAnsi="Times New Roman" w:cs="Times New Roman"/>
          <w:i/>
          <w:szCs w:val="22"/>
        </w:rPr>
        <w:t xml:space="preserve"> + σ</w:t>
      </w:r>
      <w:r>
        <w:rPr>
          <w:rFonts w:ascii="Times New Roman" w:hAnsi="Times New Roman" w:cs="Times New Roman"/>
          <w:i/>
          <w:szCs w:val="22"/>
          <w:vertAlign w:val="subscript"/>
        </w:rPr>
        <w:t>2</w:t>
      </w:r>
      <w:r>
        <w:rPr>
          <w:rFonts w:ascii="Times New Roman" w:hAnsi="Times New Roman" w:cs="Times New Roman"/>
          <w:i/>
          <w:szCs w:val="22"/>
        </w:rPr>
        <w:t>ExR</w:t>
      </w:r>
      <w:r>
        <w:rPr>
          <w:rFonts w:ascii="Times New Roman" w:hAnsi="Times New Roman" w:cs="Times New Roman"/>
          <w:i/>
          <w:szCs w:val="22"/>
          <w:vertAlign w:val="subscript"/>
        </w:rPr>
        <w:t xml:space="preserve">t-1 </w:t>
      </w:r>
      <w:r>
        <w:rPr>
          <w:rFonts w:ascii="Times New Roman" w:hAnsi="Times New Roman" w:cs="Times New Roman"/>
          <w:i/>
          <w:szCs w:val="22"/>
        </w:rPr>
        <w:t>+ τ</w:t>
      </w:r>
      <w:r>
        <w:rPr>
          <w:rFonts w:ascii="Times New Roman" w:hAnsi="Times New Roman" w:cs="Times New Roman"/>
          <w:i/>
          <w:szCs w:val="22"/>
          <w:vertAlign w:val="subscript"/>
        </w:rPr>
        <w:t>3</w:t>
      </w:r>
      <w:r>
        <w:rPr>
          <w:rFonts w:ascii="Times New Roman" w:hAnsi="Times New Roman" w:cs="Times New Roman"/>
          <w:i/>
          <w:szCs w:val="22"/>
        </w:rPr>
        <w:t>Inf</w:t>
      </w:r>
      <w:r>
        <w:rPr>
          <w:rFonts w:ascii="Times New Roman" w:hAnsi="Times New Roman" w:cs="Times New Roman"/>
          <w:i/>
          <w:szCs w:val="22"/>
          <w:vertAlign w:val="subscript"/>
        </w:rPr>
        <w:t xml:space="preserve">t-1 </w:t>
      </w:r>
      <w:r>
        <w:rPr>
          <w:rFonts w:ascii="Times New Roman" w:hAnsi="Times New Roman" w:cs="Times New Roman"/>
          <w:i/>
          <w:szCs w:val="22"/>
        </w:rPr>
        <w:t>+ ω</w:t>
      </w:r>
      <w:r>
        <w:rPr>
          <w:rFonts w:ascii="Times New Roman" w:hAnsi="Times New Roman" w:cs="Times New Roman"/>
          <w:i/>
          <w:szCs w:val="22"/>
          <w:vertAlign w:val="subscript"/>
        </w:rPr>
        <w:t>4</w:t>
      </w:r>
      <w:r>
        <w:rPr>
          <w:rFonts w:ascii="Times New Roman" w:hAnsi="Times New Roman" w:cs="Times New Roman"/>
          <w:i/>
          <w:szCs w:val="22"/>
        </w:rPr>
        <w:t>CuA</w:t>
      </w:r>
      <w:r>
        <w:rPr>
          <w:rFonts w:ascii="Times New Roman" w:hAnsi="Times New Roman" w:cs="Times New Roman"/>
          <w:i/>
          <w:szCs w:val="22"/>
          <w:vertAlign w:val="subscript"/>
        </w:rPr>
        <w:t>t-1</w:t>
      </w:r>
      <w:r>
        <w:rPr>
          <w:rFonts w:ascii="Times New Roman" w:hAnsi="Times New Roman" w:cs="Times New Roman"/>
          <w:i/>
          <w:szCs w:val="22"/>
        </w:rPr>
        <w:t xml:space="preserve"> + ϒ</w:t>
      </w:r>
      <w:r>
        <w:rPr>
          <w:rFonts w:ascii="Times New Roman" w:hAnsi="Times New Roman" w:cs="Times New Roman"/>
          <w:i/>
          <w:szCs w:val="22"/>
          <w:vertAlign w:val="subscript"/>
        </w:rPr>
        <w:t>5</w:t>
      </w:r>
      <w:r>
        <w:rPr>
          <w:rFonts w:ascii="Times New Roman" w:hAnsi="Times New Roman" w:cs="Times New Roman"/>
          <w:i/>
          <w:szCs w:val="22"/>
        </w:rPr>
        <w:t>InR</w:t>
      </w:r>
      <w:r>
        <w:rPr>
          <w:rFonts w:ascii="Times New Roman" w:hAnsi="Times New Roman" w:cs="Times New Roman"/>
          <w:i/>
          <w:szCs w:val="22"/>
          <w:vertAlign w:val="subscript"/>
        </w:rPr>
        <w:t>t-1</w:t>
      </w:r>
      <w:r>
        <w:rPr>
          <w:rFonts w:ascii="Times New Roman" w:hAnsi="Times New Roman" w:cs="Times New Roman"/>
          <w:i/>
          <w:szCs w:val="22"/>
        </w:rPr>
        <w:t xml:space="preserve"> + ψ</w:t>
      </w:r>
      <w:r>
        <w:rPr>
          <w:rFonts w:ascii="Times New Roman" w:hAnsi="Times New Roman" w:cs="Times New Roman"/>
          <w:i/>
          <w:szCs w:val="22"/>
          <w:vertAlign w:val="subscript"/>
        </w:rPr>
        <w:t>6</w:t>
      </w:r>
      <w:r>
        <w:rPr>
          <w:rFonts w:ascii="Times New Roman" w:hAnsi="Times New Roman" w:cs="Times New Roman"/>
          <w:i/>
          <w:szCs w:val="22"/>
        </w:rPr>
        <w:t>GDP</w:t>
      </w:r>
      <w:r>
        <w:rPr>
          <w:rFonts w:ascii="Times New Roman" w:hAnsi="Times New Roman" w:cs="Times New Roman"/>
          <w:i/>
          <w:szCs w:val="22"/>
          <w:vertAlign w:val="subscript"/>
        </w:rPr>
        <w:t>t-1</w:t>
      </w:r>
      <w:r>
        <w:rPr>
          <w:rFonts w:ascii="Times New Roman" w:hAnsi="Times New Roman" w:cs="Times New Roman"/>
          <w:i/>
          <w:szCs w:val="22"/>
        </w:rPr>
        <w:t xml:space="preserve"> + ζ</w:t>
      </w:r>
      <w:r>
        <w:rPr>
          <w:rFonts w:ascii="Times New Roman" w:hAnsi="Times New Roman" w:cs="Times New Roman"/>
          <w:i/>
          <w:szCs w:val="22"/>
          <w:vertAlign w:val="subscript"/>
        </w:rPr>
        <w:t>t</w:t>
      </w:r>
      <w:r>
        <w:rPr>
          <w:rFonts w:ascii="Times New Roman" w:hAnsi="Times New Roman" w:cs="Times New Roman"/>
          <w:szCs w:val="22"/>
          <w:vertAlign w:val="subscript"/>
        </w:rPr>
        <w:t xml:space="preserve"> </w:t>
      </w:r>
      <w:r>
        <w:rPr>
          <w:rFonts w:ascii="Times New Roman" w:hAnsi="Times New Roman" w:cs="Times New Roman"/>
          <w:szCs w:val="22"/>
        </w:rPr>
        <w:t>...... (3)</w:t>
      </w:r>
    </w:p>
    <w:p>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Where Δ is the first difference operator, </w:t>
      </w:r>
      <w:r>
        <w:rPr>
          <w:rFonts w:ascii="Times New Roman" w:hAnsi="Times New Roman" w:cs="Times New Roman"/>
          <w:i/>
          <w:color w:val="000000" w:themeColor="text1"/>
          <w:szCs w:val="22"/>
        </w:rPr>
        <w:t>B</w:t>
      </w:r>
      <w:r>
        <w:rPr>
          <w:rFonts w:ascii="Times New Roman" w:hAnsi="Times New Roman" w:cs="Times New Roman"/>
          <w:i/>
          <w:color w:val="000000" w:themeColor="text1"/>
          <w:szCs w:val="22"/>
          <w:vertAlign w:val="subscript"/>
        </w:rPr>
        <w:t>i</w:t>
      </w:r>
      <w:r>
        <w:rPr>
          <w:rFonts w:ascii="Times New Roman" w:hAnsi="Times New Roman" w:cs="Times New Roman"/>
          <w:color w:val="000000" w:themeColor="text1"/>
          <w:szCs w:val="22"/>
        </w:rPr>
        <w:t xml:space="preserve">, </w:t>
      </w:r>
      <w:r>
        <w:rPr>
          <w:rFonts w:ascii="Times New Roman" w:hAnsi="Times New Roman" w:cs="Times New Roman"/>
          <w:i/>
          <w:color w:val="000000" w:themeColor="text1"/>
          <w:szCs w:val="22"/>
        </w:rPr>
        <w:t>C</w:t>
      </w:r>
      <w:r>
        <w:rPr>
          <w:rFonts w:ascii="Times New Roman" w:hAnsi="Times New Roman" w:cs="Times New Roman"/>
          <w:i/>
          <w:color w:val="000000" w:themeColor="text1"/>
          <w:szCs w:val="22"/>
          <w:vertAlign w:val="subscript"/>
        </w:rPr>
        <w:t>i</w:t>
      </w:r>
      <w:r>
        <w:rPr>
          <w:rFonts w:ascii="Times New Roman" w:hAnsi="Times New Roman" w:cs="Times New Roman"/>
          <w:color w:val="000000" w:themeColor="text1"/>
          <w:szCs w:val="22"/>
        </w:rPr>
        <w:t xml:space="preserve">, </w:t>
      </w:r>
      <w:r>
        <w:rPr>
          <w:rFonts w:ascii="Times New Roman" w:hAnsi="Times New Roman" w:cs="Times New Roman"/>
          <w:i/>
          <w:color w:val="000000" w:themeColor="text1"/>
          <w:szCs w:val="22"/>
        </w:rPr>
        <w:t>D</w:t>
      </w:r>
      <w:r>
        <w:rPr>
          <w:rFonts w:ascii="Times New Roman" w:hAnsi="Times New Roman" w:cs="Times New Roman"/>
          <w:i/>
          <w:color w:val="000000" w:themeColor="text1"/>
          <w:szCs w:val="22"/>
          <w:vertAlign w:val="subscript"/>
        </w:rPr>
        <w:t>i</w:t>
      </w:r>
      <w:r>
        <w:rPr>
          <w:rFonts w:ascii="Times New Roman" w:hAnsi="Times New Roman" w:cs="Times New Roman"/>
          <w:color w:val="000000" w:themeColor="text1"/>
          <w:szCs w:val="22"/>
        </w:rPr>
        <w:t xml:space="preserve">, </w:t>
      </w:r>
      <w:r>
        <w:rPr>
          <w:rFonts w:ascii="Times New Roman" w:hAnsi="Times New Roman" w:cs="Times New Roman"/>
          <w:i/>
          <w:color w:val="000000" w:themeColor="text1"/>
          <w:szCs w:val="22"/>
        </w:rPr>
        <w:t>E</w:t>
      </w:r>
      <w:r>
        <w:rPr>
          <w:rFonts w:ascii="Times New Roman" w:hAnsi="Times New Roman" w:cs="Times New Roman"/>
          <w:i/>
          <w:color w:val="000000" w:themeColor="text1"/>
          <w:szCs w:val="22"/>
          <w:vertAlign w:val="subscript"/>
        </w:rPr>
        <w:t>i</w:t>
      </w:r>
      <w:r>
        <w:rPr>
          <w:rFonts w:ascii="Times New Roman" w:hAnsi="Times New Roman" w:cs="Times New Roman"/>
          <w:color w:val="000000" w:themeColor="text1"/>
          <w:szCs w:val="22"/>
        </w:rPr>
        <w:t xml:space="preserve">, </w:t>
      </w:r>
      <w:r>
        <w:rPr>
          <w:rFonts w:ascii="Times New Roman" w:hAnsi="Times New Roman" w:cs="Times New Roman"/>
          <w:i/>
          <w:color w:val="000000" w:themeColor="text1"/>
          <w:szCs w:val="22"/>
        </w:rPr>
        <w:t>F</w:t>
      </w:r>
      <w:r>
        <w:rPr>
          <w:rFonts w:ascii="Times New Roman" w:hAnsi="Times New Roman" w:cs="Times New Roman"/>
          <w:i/>
          <w:color w:val="000000" w:themeColor="text1"/>
          <w:szCs w:val="22"/>
          <w:vertAlign w:val="subscript"/>
        </w:rPr>
        <w:t>i</w:t>
      </w:r>
      <w:r>
        <w:rPr>
          <w:rFonts w:ascii="Times New Roman" w:hAnsi="Times New Roman" w:cs="Times New Roman"/>
          <w:color w:val="000000" w:themeColor="text1"/>
          <w:szCs w:val="22"/>
        </w:rPr>
        <w:t xml:space="preserve"> are variable coefficients, </w:t>
      </w:r>
      <w:r>
        <w:rPr>
          <w:rFonts w:ascii="Times New Roman" w:hAnsi="Times New Roman" w:cs="Times New Roman"/>
          <w:i/>
          <w:color w:val="000000" w:themeColor="text1"/>
          <w:szCs w:val="22"/>
        </w:rPr>
        <w:t>p</w:t>
      </w:r>
      <w:r>
        <w:rPr>
          <w:rFonts w:ascii="Times New Roman" w:hAnsi="Times New Roman" w:cs="Times New Roman"/>
          <w:color w:val="000000" w:themeColor="text1"/>
          <w:szCs w:val="22"/>
        </w:rPr>
        <w:t xml:space="preserve"> is lags length, and ζ</w:t>
      </w:r>
      <w:r>
        <w:rPr>
          <w:rFonts w:ascii="Times New Roman" w:hAnsi="Times New Roman" w:cs="Times New Roman"/>
          <w:color w:val="000000" w:themeColor="text1"/>
          <w:szCs w:val="22"/>
          <w:vertAlign w:val="subscript"/>
        </w:rPr>
        <w:t>t</w:t>
      </w:r>
      <w:r>
        <w:rPr>
          <w:rFonts w:ascii="Times New Roman" w:hAnsi="Times New Roman" w:cs="Times New Roman"/>
          <w:color w:val="000000" w:themeColor="text1"/>
          <w:szCs w:val="22"/>
        </w:rPr>
        <w:t xml:space="preserve"> is an error term. By using cointegration of ARDL, we can estimate the long run of the ARDL equation as follows:</w:t>
      </w:r>
    </w:p>
    <w:p>
      <w:pPr>
        <w:spacing w:line="360" w:lineRule="auto"/>
        <w:ind w:firstLine="720"/>
        <w:jc w:val="center"/>
        <w:rPr>
          <w:rFonts w:ascii="Times New Roman" w:hAnsi="Times New Roman" w:cs="Times New Roman"/>
          <w:szCs w:val="22"/>
        </w:rPr>
      </w:pPr>
      <w:r>
        <w:rPr>
          <w:rFonts w:ascii="Times New Roman" w:hAnsi="Times New Roman" w:cs="Times New Roman"/>
          <w:i/>
          <w:szCs w:val="22"/>
        </w:rPr>
        <w:t>SP</w:t>
      </w:r>
      <w:r>
        <w:rPr>
          <w:rFonts w:ascii="Times New Roman" w:hAnsi="Times New Roman" w:cs="Times New Roman"/>
          <w:i/>
          <w:szCs w:val="22"/>
          <w:vertAlign w:val="subscript"/>
        </w:rPr>
        <w:t>t</w:t>
      </w:r>
      <w:r>
        <w:rPr>
          <w:rFonts w:ascii="Times New Roman" w:hAnsi="Times New Roman" w:cs="Times New Roman"/>
          <w:i/>
          <w:szCs w:val="22"/>
        </w:rPr>
        <w:t xml:space="preserve"> = η</w:t>
      </w:r>
      <w:r>
        <w:rPr>
          <w:rFonts w:ascii="Times New Roman" w:hAnsi="Times New Roman" w:cs="Times New Roman"/>
          <w:i/>
          <w:szCs w:val="22"/>
          <w:vertAlign w:val="subscript"/>
        </w:rPr>
        <w:t>0</w:t>
      </w:r>
      <w:r>
        <w:rPr>
          <w:rFonts w:ascii="Times New Roman" w:hAnsi="Times New Roman" w:cs="Times New Roman"/>
          <w:i/>
          <w:szCs w:val="22"/>
        </w:rPr>
        <w:t>+ η</w:t>
      </w:r>
      <w:r>
        <w:rPr>
          <w:rFonts w:ascii="Times New Roman" w:hAnsi="Times New Roman" w:cs="Times New Roman"/>
          <w:i/>
          <w:szCs w:val="22"/>
          <w:vertAlign w:val="subscript"/>
        </w:rPr>
        <w:t>1</w:t>
      </w:r>
      <w:r>
        <w:rPr>
          <w:rFonts w:ascii="Times New Roman" w:hAnsi="Times New Roman" w:cs="Times New Roman"/>
          <w:i/>
          <w:szCs w:val="22"/>
        </w:rPr>
        <w:t>ExR + η</w:t>
      </w:r>
      <w:r>
        <w:rPr>
          <w:rFonts w:ascii="Times New Roman" w:hAnsi="Times New Roman" w:cs="Times New Roman"/>
          <w:i/>
          <w:szCs w:val="22"/>
          <w:vertAlign w:val="subscript"/>
        </w:rPr>
        <w:t>2</w:t>
      </w:r>
      <w:r>
        <w:rPr>
          <w:rFonts w:ascii="Times New Roman" w:hAnsi="Times New Roman" w:cs="Times New Roman"/>
          <w:i/>
          <w:szCs w:val="22"/>
        </w:rPr>
        <w:t>Inf + η</w:t>
      </w:r>
      <w:r>
        <w:rPr>
          <w:rFonts w:ascii="Times New Roman" w:hAnsi="Times New Roman" w:cs="Times New Roman"/>
          <w:i/>
          <w:szCs w:val="22"/>
          <w:vertAlign w:val="subscript"/>
        </w:rPr>
        <w:t>3</w:t>
      </w:r>
      <w:r>
        <w:rPr>
          <w:rFonts w:ascii="Times New Roman" w:hAnsi="Times New Roman" w:cs="Times New Roman"/>
          <w:i/>
          <w:szCs w:val="22"/>
        </w:rPr>
        <w:t>CuA + η</w:t>
      </w:r>
      <w:r>
        <w:rPr>
          <w:rFonts w:ascii="Times New Roman" w:hAnsi="Times New Roman" w:cs="Times New Roman"/>
          <w:i/>
          <w:szCs w:val="22"/>
          <w:vertAlign w:val="subscript"/>
        </w:rPr>
        <w:t>4</w:t>
      </w:r>
      <w:r>
        <w:rPr>
          <w:rFonts w:ascii="Times New Roman" w:hAnsi="Times New Roman" w:cs="Times New Roman"/>
          <w:i/>
          <w:szCs w:val="22"/>
        </w:rPr>
        <w:t>InR + η</w:t>
      </w:r>
      <w:r>
        <w:rPr>
          <w:rFonts w:ascii="Times New Roman" w:hAnsi="Times New Roman" w:cs="Times New Roman"/>
          <w:i/>
          <w:szCs w:val="22"/>
          <w:vertAlign w:val="subscript"/>
        </w:rPr>
        <w:t>5</w:t>
      </w:r>
      <w:r>
        <w:rPr>
          <w:rFonts w:ascii="Times New Roman" w:hAnsi="Times New Roman" w:cs="Times New Roman"/>
          <w:i/>
          <w:szCs w:val="22"/>
        </w:rPr>
        <w:t>GDP + ξ</w:t>
      </w:r>
      <w:r>
        <w:rPr>
          <w:rFonts w:ascii="Times New Roman" w:hAnsi="Times New Roman" w:cs="Times New Roman"/>
          <w:i/>
          <w:szCs w:val="22"/>
          <w:vertAlign w:val="subscript"/>
        </w:rPr>
        <w:t>t</w:t>
      </w:r>
      <w:r>
        <w:rPr>
          <w:rFonts w:ascii="Times New Roman" w:hAnsi="Times New Roman" w:cs="Times New Roman"/>
          <w:szCs w:val="22"/>
          <w:vertAlign w:val="subscript"/>
        </w:rPr>
        <w:t xml:space="preserve"> </w:t>
      </w:r>
      <w:r>
        <w:rPr>
          <w:rFonts w:ascii="Times New Roman" w:hAnsi="Times New Roman" w:cs="Times New Roman"/>
          <w:szCs w:val="22"/>
        </w:rPr>
        <w:t>......... (4)</w:t>
      </w:r>
    </w:p>
    <w:p>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We use unrestricted Error Corection Model in this paper to see the dynamic short term parameters of the respective ARDL equations of ASEAN-4 countries by the formula:</w:t>
      </w:r>
    </w:p>
    <w:p>
      <w:pPr>
        <w:spacing w:line="360" w:lineRule="auto"/>
        <w:jc w:val="center"/>
        <w:rPr>
          <w:rFonts w:ascii="Times New Roman" w:hAnsi="Times New Roman" w:cs="Times New Roman"/>
          <w:szCs w:val="22"/>
        </w:rPr>
      </w:pPr>
      <w:r>
        <w:rPr>
          <w:rFonts w:ascii="Times New Roman" w:hAnsi="Times New Roman" w:cs="Times New Roman"/>
          <w:i/>
          <w:szCs w:val="22"/>
        </w:rPr>
        <w:t>ΔSP</w:t>
      </w:r>
      <w:r>
        <w:rPr>
          <w:rFonts w:ascii="Times New Roman" w:hAnsi="Times New Roman" w:cs="Times New Roman"/>
          <w:i/>
          <w:szCs w:val="22"/>
          <w:vertAlign w:val="subscript"/>
        </w:rPr>
        <w:t xml:space="preserve">t </w:t>
      </w:r>
      <w:r>
        <w:rPr>
          <w:rFonts w:ascii="Times New Roman" w:hAnsi="Times New Roman" w:cs="Times New Roman"/>
          <w:i/>
          <w:szCs w:val="22"/>
        </w:rPr>
        <w:t>= λ</w:t>
      </w:r>
      <w:r>
        <w:rPr>
          <w:rFonts w:ascii="Times New Roman" w:hAnsi="Times New Roman" w:cs="Times New Roman"/>
          <w:i/>
          <w:szCs w:val="22"/>
          <w:vertAlign w:val="subscript"/>
        </w:rPr>
        <w:t xml:space="preserve">0 </w:t>
      </w:r>
      <w:r>
        <w:rPr>
          <w:rFonts w:ascii="Times New Roman" w:hAnsi="Times New Roman" w:cs="Times New Roman"/>
          <w:i/>
          <w:szCs w:val="22"/>
        </w:rPr>
        <w:t>+</w:t>
      </w:r>
      <m:oMath>
        <m:r>
          <w:rPr>
            <w:rFonts w:ascii="Cambria Math" w:hAnsi="Cambria Math" w:cs="Times New Roman"/>
            <w:szCs w:val="22"/>
          </w:rPr>
          <m:t xml:space="preserve"> </m:t>
        </m:r>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λ1iΔSPt-i</m:t>
            </m:r>
            <m:ctrlPr>
              <w:rPr>
                <w:rFonts w:ascii="Cambria Math" w:hAnsi="Cambria Math" w:cs="Times New Roman"/>
                <w:i/>
                <w:szCs w:val="22"/>
              </w:rPr>
            </m:ctrlPr>
          </m:e>
        </m:nary>
      </m:oMath>
      <w:r>
        <w:rPr>
          <w:rFonts w:ascii="Times New Roman" w:hAnsi="Times New Roman" w:cs="Times New Roman"/>
          <w:i/>
          <w:szCs w:val="22"/>
        </w:rPr>
        <w:t xml:space="preserve">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λ2iΔExRt-i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λ3iΔInft-i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λ4iΔCuAt-i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λ5iΔInRt-i</m:t>
            </m:r>
            <m:ctrlPr>
              <w:rPr>
                <w:rFonts w:ascii="Cambria Math" w:hAnsi="Cambria Math" w:cs="Times New Roman"/>
                <w:i/>
                <w:szCs w:val="22"/>
              </w:rPr>
            </m:ctrlPr>
          </m:e>
        </m:nary>
      </m:oMath>
      <w:r>
        <w:rPr>
          <w:rFonts w:ascii="Times New Roman" w:hAnsi="Times New Roman" w:cs="Times New Roman"/>
          <w:i/>
          <w:szCs w:val="22"/>
        </w:rPr>
        <w:t xml:space="preserve"> + </w:t>
      </w:r>
      <m:oMath>
        <m:nary>
          <m:naryPr>
            <m:chr m:val="∑"/>
            <m:limLoc m:val="undOvr"/>
            <m:ctrlPr>
              <w:rPr>
                <w:rFonts w:ascii="Cambria Math" w:hAnsi="Cambria Math" w:cs="Times New Roman"/>
                <w:i/>
                <w:szCs w:val="22"/>
              </w:rPr>
            </m:ctrlPr>
          </m:naryPr>
          <m:sub>
            <m:r>
              <w:rPr>
                <w:rFonts w:ascii="Cambria Math" w:hAnsi="Cambria Math" w:cs="Times New Roman"/>
                <w:szCs w:val="22"/>
              </w:rPr>
              <m:t>i=0</m:t>
            </m:r>
            <m:ctrlPr>
              <w:rPr>
                <w:rFonts w:ascii="Cambria Math" w:hAnsi="Cambria Math" w:cs="Times New Roman"/>
                <w:i/>
                <w:szCs w:val="22"/>
              </w:rPr>
            </m:ctrlPr>
          </m:sub>
          <m:sup>
            <m:r>
              <w:rPr>
                <w:rFonts w:ascii="Cambria Math" w:hAnsi="Cambria Math" w:cs="Times New Roman"/>
                <w:szCs w:val="22"/>
              </w:rPr>
              <m:t>p</m:t>
            </m:r>
            <m:ctrlPr>
              <w:rPr>
                <w:rFonts w:ascii="Cambria Math" w:hAnsi="Cambria Math" w:cs="Times New Roman"/>
                <w:i/>
                <w:szCs w:val="22"/>
              </w:rPr>
            </m:ctrlPr>
          </m:sup>
          <m:e>
            <m:r>
              <w:rPr>
                <w:rFonts w:ascii="Cambria Math" w:hAnsi="Cambria Math" w:cs="Times New Roman"/>
                <w:szCs w:val="22"/>
              </w:rPr>
              <m:t>λ6iΔGDPt-i</m:t>
            </m:r>
            <m:ctrlPr>
              <w:rPr>
                <w:rFonts w:ascii="Cambria Math" w:hAnsi="Cambria Math" w:cs="Times New Roman"/>
                <w:i/>
                <w:szCs w:val="22"/>
              </w:rPr>
            </m:ctrlPr>
          </m:e>
        </m:nary>
      </m:oMath>
      <w:r>
        <w:rPr>
          <w:rFonts w:ascii="Times New Roman" w:hAnsi="Times New Roman" w:cs="Times New Roman"/>
          <w:i/>
          <w:szCs w:val="22"/>
        </w:rPr>
        <w:t xml:space="preserve"> + πECT</w:t>
      </w:r>
      <w:r>
        <w:rPr>
          <w:rFonts w:ascii="Times New Roman" w:hAnsi="Times New Roman" w:cs="Times New Roman"/>
          <w:i/>
          <w:szCs w:val="22"/>
          <w:vertAlign w:val="subscript"/>
        </w:rPr>
        <w:t xml:space="preserve">t-1 </w:t>
      </w:r>
      <w:r>
        <w:rPr>
          <w:rFonts w:ascii="Times New Roman" w:hAnsi="Times New Roman" w:cs="Times New Roman"/>
          <w:i/>
          <w:szCs w:val="22"/>
        </w:rPr>
        <w:t>+</w:t>
      </w:r>
      <w:r>
        <w:rPr>
          <w:rFonts w:ascii="Times New Roman" w:hAnsi="Times New Roman" w:cs="Times New Roman"/>
          <w:i/>
          <w:szCs w:val="22"/>
          <w:vertAlign w:val="subscript"/>
        </w:rPr>
        <w:t xml:space="preserve"> </w:t>
      </w:r>
      <w:r>
        <w:rPr>
          <w:rFonts w:ascii="Times New Roman" w:hAnsi="Times New Roman" w:cs="Times New Roman"/>
          <w:i/>
          <w:szCs w:val="22"/>
        </w:rPr>
        <w:t>ν</w:t>
      </w:r>
      <w:r>
        <w:rPr>
          <w:rFonts w:ascii="Times New Roman" w:hAnsi="Times New Roman" w:cs="Times New Roman"/>
          <w:i/>
          <w:szCs w:val="22"/>
          <w:vertAlign w:val="subscript"/>
        </w:rPr>
        <w:t>t</w:t>
      </w:r>
      <w:r>
        <w:rPr>
          <w:rFonts w:ascii="Times New Roman" w:hAnsi="Times New Roman" w:cs="Times New Roman"/>
          <w:szCs w:val="22"/>
        </w:rPr>
        <w:t xml:space="preserve"> .......... (5)</w:t>
      </w:r>
    </w:p>
    <w:p>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Where π is the coefficient of ECT showing dynamic short term cointegration and adjustment speed. ECT coefficients with negative and significant values ​​indicate there is short-term cointegration in the equations that we estimate.</w:t>
      </w:r>
    </w:p>
    <w:p>
      <w:pPr>
        <w:ind w:left="426" w:hanging="426"/>
        <w:jc w:val="both"/>
        <w:rPr>
          <w:rFonts w:ascii="Times New Roman" w:hAnsi="Times New Roman" w:cs="Times New Roman"/>
          <w:b/>
          <w:color w:val="000000" w:themeColor="text1"/>
          <w:szCs w:val="22"/>
        </w:rPr>
      </w:pPr>
      <w:r>
        <w:rPr>
          <w:rFonts w:ascii="Times New Roman" w:hAnsi="Times New Roman" w:cs="Times New Roman"/>
          <w:b/>
          <w:color w:val="000000" w:themeColor="text1"/>
          <w:szCs w:val="22"/>
          <w:lang w:val="en-US"/>
        </w:rPr>
        <w:t xml:space="preserve">Findings </w:t>
      </w:r>
      <w:r>
        <w:rPr>
          <w:rFonts w:ascii="Times New Roman" w:hAnsi="Times New Roman" w:cs="Times New Roman"/>
          <w:b/>
          <w:color w:val="000000" w:themeColor="text1"/>
          <w:szCs w:val="22"/>
        </w:rPr>
        <w:t>And Discussion</w:t>
      </w:r>
    </w:p>
    <w:p>
      <w:pPr>
        <w:jc w:val="both"/>
        <w:rPr>
          <w:rFonts w:ascii="Times New Roman" w:hAnsi="Times New Roman" w:cs="Times New Roman"/>
          <w:i/>
          <w:color w:val="000000" w:themeColor="text1"/>
          <w:szCs w:val="22"/>
        </w:rPr>
      </w:pPr>
      <w:r>
        <w:rPr>
          <w:rFonts w:ascii="Times New Roman" w:hAnsi="Times New Roman" w:cs="Times New Roman"/>
          <w:i/>
          <w:color w:val="000000" w:themeColor="text1"/>
          <w:szCs w:val="22"/>
        </w:rPr>
        <w:t>4.1 Descriptive Statistics and Unit Root Test</w:t>
      </w:r>
    </w:p>
    <w:p>
      <w:pPr>
        <w:spacing w:after="0"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As in the estimation of time series equations, the interaction between stock prices and macroeconomic variables in this paper is done by testing the stationarity between variables. In this paper to sharpen the conclusions of the paper, we choose and examine the countries that categorized of emerging markets and developing economies based on the IMF classification, which means that the countries we examine have similar characteristics to each other. Differences in estimates will lead us to new perspectives on causality between macroeconomic variables and stock prices in emerging markets in some Southeast Asia countries. Table 1 is a descriptive statistic of ASEAN-4 countries.</w:t>
      </w:r>
    </w:p>
    <w:tbl>
      <w:tblPr>
        <w:tblStyle w:val="7"/>
        <w:tblW w:w="9550" w:type="dxa"/>
        <w:tblInd w:w="93" w:type="dxa"/>
        <w:tblLayout w:type="fixed"/>
        <w:tblCellMar>
          <w:top w:w="0" w:type="dxa"/>
          <w:left w:w="108" w:type="dxa"/>
          <w:bottom w:w="0" w:type="dxa"/>
          <w:right w:w="108" w:type="dxa"/>
        </w:tblCellMar>
      </w:tblPr>
      <w:tblGrid>
        <w:gridCol w:w="4126"/>
        <w:gridCol w:w="1279"/>
        <w:gridCol w:w="1497"/>
        <w:gridCol w:w="1253"/>
        <w:gridCol w:w="1395"/>
      </w:tblGrid>
      <w:tr>
        <w:tblPrEx>
          <w:tblLayout w:type="fixed"/>
          <w:tblCellMar>
            <w:top w:w="0" w:type="dxa"/>
            <w:left w:w="108" w:type="dxa"/>
            <w:bottom w:w="0" w:type="dxa"/>
            <w:right w:w="108" w:type="dxa"/>
          </w:tblCellMar>
        </w:tblPrEx>
        <w:trPr>
          <w:trHeight w:val="315" w:hRule="atLeast"/>
        </w:trPr>
        <w:tc>
          <w:tcPr>
            <w:tcW w:w="9550" w:type="dxa"/>
            <w:gridSpan w:val="5"/>
            <w:tcBorders>
              <w:top w:val="nil"/>
              <w:left w:val="nil"/>
              <w:bottom w:val="double" w:color="505050" w:sz="6"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1. ASEAN-4 Descriptive Statistics</w:t>
            </w:r>
          </w:p>
        </w:tc>
      </w:tr>
      <w:tr>
        <w:tblPrEx>
          <w:tblLayout w:type="fixed"/>
          <w:tblCellMar>
            <w:top w:w="0" w:type="dxa"/>
            <w:left w:w="108" w:type="dxa"/>
            <w:bottom w:w="0" w:type="dxa"/>
            <w:right w:w="108" w:type="dxa"/>
          </w:tblCellMar>
        </w:tblPrEx>
        <w:trPr>
          <w:trHeight w:val="315" w:hRule="atLeast"/>
        </w:trPr>
        <w:tc>
          <w:tcPr>
            <w:tcW w:w="4126"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Variable</w:t>
            </w:r>
          </w:p>
        </w:tc>
        <w:tc>
          <w:tcPr>
            <w:tcW w:w="5424" w:type="dxa"/>
            <w:gridSpan w:val="4"/>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Mean</w:t>
            </w:r>
          </w:p>
        </w:tc>
      </w:tr>
      <w:tr>
        <w:tblPrEx>
          <w:tblLayout w:type="fixed"/>
          <w:tblCellMar>
            <w:top w:w="0" w:type="dxa"/>
            <w:left w:w="108" w:type="dxa"/>
            <w:bottom w:w="0" w:type="dxa"/>
            <w:right w:w="108" w:type="dxa"/>
          </w:tblCellMar>
        </w:tblPrEx>
        <w:trPr>
          <w:trHeight w:val="300" w:hRule="atLeast"/>
        </w:trPr>
        <w:tc>
          <w:tcPr>
            <w:tcW w:w="4126"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c>
          <w:tcPr>
            <w:tcW w:w="1279"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Philippines</w:t>
            </w:r>
          </w:p>
        </w:tc>
        <w:tc>
          <w:tcPr>
            <w:tcW w:w="1497"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Malaysia</w:t>
            </w:r>
          </w:p>
        </w:tc>
        <w:tc>
          <w:tcPr>
            <w:tcW w:w="1253"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Indonesia</w:t>
            </w:r>
          </w:p>
        </w:tc>
        <w:tc>
          <w:tcPr>
            <w:tcW w:w="1395"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Thailand</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Stock Price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5709,024</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1589,961</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4248,688</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1237,894</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Exchange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45,3834</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3,5177</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11107,99</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32,6949</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Inflation</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3,0472</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2,2733</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0,4029</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1,258</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Current Account</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0,6063</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4,4309</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-3,1526</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4,2354</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Interest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3,7939</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2,8843</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6,4468</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2,6551</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27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167577</w:t>
            </w:r>
          </w:p>
        </w:tc>
        <w:tc>
          <w:tcPr>
            <w:tcW w:w="1497"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239902,5</w:t>
            </w:r>
          </w:p>
        </w:tc>
        <w:tc>
          <w:tcPr>
            <w:tcW w:w="12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19995</w:t>
            </w:r>
          </w:p>
        </w:tc>
        <w:tc>
          <w:tcPr>
            <w:tcW w:w="1395"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8872816</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Standard Deviation</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Stock Price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1852,407</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233,1736</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1134,89</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338,7687</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Exchange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2,7088</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0,473</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1873,054</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1,8968</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Inflation</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1,4199</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1,3435</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0.5334</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2,2409</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Current Account</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0,5545</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2,5605</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3,7211</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5,3438</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Interest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0,4868</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0,3813</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1,0116</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0,6833</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27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356921</w:t>
            </w:r>
          </w:p>
        </w:tc>
        <w:tc>
          <w:tcPr>
            <w:tcW w:w="1497"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33186,23</w:t>
            </w:r>
          </w:p>
        </w:tc>
        <w:tc>
          <w:tcPr>
            <w:tcW w:w="12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391073,8</w:t>
            </w:r>
          </w:p>
        </w:tc>
        <w:tc>
          <w:tcPr>
            <w:tcW w:w="1395"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757617,4</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Max Value</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Stock Price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8558,42</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1882,71</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6355,65</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1753,71</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Exchange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51,4049</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4,4599</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14406,03</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36,1347</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Inflation</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7,2</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4,921</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3,29</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4,292</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Current Account</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1,908</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9,06</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3,44</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16,8</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Interest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3,25</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8,75</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2344536</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308078</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2552217</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10206201</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Min Value</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Stock Price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1825,090</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872,55</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1285,48</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431,5</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Exchange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40,6814</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2,9868</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8528,203</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29,0646</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Inflation</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-2,48</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-0,45</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-4,378</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Current Account</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-10,13</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Interest Rate</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4,25</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1,25</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27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497"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178543,5</w:t>
            </w:r>
          </w:p>
        </w:tc>
        <w:tc>
          <w:tcPr>
            <w:tcW w:w="12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395"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7657100</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Observation: 108</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r>
      <w:tr>
        <w:tblPrEx>
          <w:tblLayout w:type="fixed"/>
          <w:tblCellMar>
            <w:top w:w="0" w:type="dxa"/>
            <w:left w:w="108" w:type="dxa"/>
            <w:bottom w:w="0" w:type="dxa"/>
            <w:right w:w="108" w:type="dxa"/>
          </w:tblCellMar>
        </w:tblPrEx>
        <w:trPr>
          <w:trHeight w:val="300" w:hRule="atLeast"/>
        </w:trPr>
        <w:tc>
          <w:tcPr>
            <w:tcW w:w="9550" w:type="dxa"/>
            <w:gridSpan w:val="5"/>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Characteristic</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Stock Exchange</w:t>
            </w:r>
          </w:p>
        </w:tc>
        <w:tc>
          <w:tcPr>
            <w:tcW w:w="1279"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Philippine SE</w:t>
            </w:r>
          </w:p>
        </w:tc>
        <w:tc>
          <w:tcPr>
            <w:tcW w:w="1497"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Bursa Malaysia</w:t>
            </w:r>
          </w:p>
        </w:tc>
        <w:tc>
          <w:tcPr>
            <w:tcW w:w="125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Indonesia SE</w:t>
            </w:r>
          </w:p>
        </w:tc>
        <w:tc>
          <w:tcPr>
            <w:tcW w:w="1395"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SE of Thailand</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Name index</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PSEi</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KLCI</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IHSG</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SETI</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Number Listed Companies</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265</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903</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537</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656</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Total Volume Traded 2016 (billion USD)</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106</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92</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329</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Market Capitalisation 2016 (billion USD)</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240</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360</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426</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433</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Clasification by IMF</w:t>
            </w:r>
          </w:p>
        </w:tc>
        <w:tc>
          <w:tcPr>
            <w:tcW w:w="5424"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xml:space="preserve">   -Emerging Market &amp; Developing Economies</w:t>
            </w:r>
          </w:p>
        </w:tc>
        <w:tc>
          <w:tcPr>
            <w:tcW w:w="12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497"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2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395"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r>
      <w:tr>
        <w:tblPrEx>
          <w:tblLayout w:type="fixed"/>
          <w:tblCellMar>
            <w:top w:w="0" w:type="dxa"/>
            <w:left w:w="108" w:type="dxa"/>
            <w:bottom w:w="0" w:type="dxa"/>
            <w:right w:w="108" w:type="dxa"/>
          </w:tblCellMar>
        </w:tblPrEx>
        <w:trPr>
          <w:trHeight w:val="300" w:hRule="atLeast"/>
        </w:trPr>
        <w:tc>
          <w:tcPr>
            <w:tcW w:w="4126" w:type="dxa"/>
            <w:tcBorders>
              <w:top w:val="nil"/>
              <w:left w:val="nil"/>
              <w:bottom w:val="single" w:color="auto"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xml:space="preserve">   -Emerging &amp; Developing ASIA</w:t>
            </w:r>
          </w:p>
        </w:tc>
        <w:tc>
          <w:tcPr>
            <w:tcW w:w="127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497"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253"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c>
          <w:tcPr>
            <w:tcW w:w="1395"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yes</w:t>
            </w:r>
          </w:p>
        </w:tc>
      </w:tr>
    </w:tbl>
    <w:p>
      <w:pPr>
        <w:spacing w:line="360" w:lineRule="auto"/>
        <w:jc w:val="both"/>
        <w:rPr>
          <w:rFonts w:ascii="Times New Roman" w:hAnsi="Times New Roman" w:cs="Times New Roman"/>
          <w:szCs w:val="22"/>
        </w:rPr>
      </w:pPr>
      <w:r>
        <w:rPr>
          <w:rFonts w:ascii="Times New Roman" w:hAnsi="Times New Roman" w:cs="Times New Roman"/>
          <w:szCs w:val="22"/>
        </w:rPr>
        <w:t>Note: processed by author.</w:t>
      </w:r>
    </w:p>
    <w:p>
      <w:pPr>
        <w:spacing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To test the stationarity of variables in this paper, we will use the Phillips-Perron (PP) test with the null hypothesis non stationary  variable or have the unit root and the Kwiatkowski-Phillips-Schmidt-Shin (KPSS) test. We do not explain the unit root test methodology in this paper to compress the discussion. By using the Akaike’s Information Criteria (AIC), table 2 presents the results of PP unit root test and KPSS between stock price and macroeconomic variables. From table 2 it was found that from four ASEAN-4 countries, variables stationary at different degrees i.e at I (0) and I (1), no variable was found to be integrated in I (2). This means that we can apply the ARDL approach to examine the effect of stock prices and macroeconomic variables.</w:t>
      </w:r>
    </w:p>
    <w:tbl>
      <w:tblPr>
        <w:tblStyle w:val="7"/>
        <w:tblW w:w="9421" w:type="dxa"/>
        <w:tblInd w:w="93" w:type="dxa"/>
        <w:tblLayout w:type="fixed"/>
        <w:tblCellMar>
          <w:top w:w="0" w:type="dxa"/>
          <w:left w:w="108" w:type="dxa"/>
          <w:bottom w:w="0" w:type="dxa"/>
          <w:right w:w="108" w:type="dxa"/>
        </w:tblCellMar>
      </w:tblPr>
      <w:tblGrid>
        <w:gridCol w:w="910"/>
        <w:gridCol w:w="1049"/>
        <w:gridCol w:w="753"/>
        <w:gridCol w:w="1050"/>
        <w:gridCol w:w="780"/>
        <w:gridCol w:w="1072"/>
        <w:gridCol w:w="753"/>
        <w:gridCol w:w="1169"/>
        <w:gridCol w:w="753"/>
        <w:gridCol w:w="1132"/>
      </w:tblGrid>
      <w:tr>
        <w:tblPrEx>
          <w:tblLayout w:type="fixed"/>
          <w:tblCellMar>
            <w:top w:w="0" w:type="dxa"/>
            <w:left w:w="108" w:type="dxa"/>
            <w:bottom w:w="0" w:type="dxa"/>
            <w:right w:w="108" w:type="dxa"/>
          </w:tblCellMar>
        </w:tblPrEx>
        <w:trPr>
          <w:trHeight w:val="315" w:hRule="atLeast"/>
        </w:trPr>
        <w:tc>
          <w:tcPr>
            <w:tcW w:w="9421" w:type="dxa"/>
            <w:gridSpan w:val="10"/>
            <w:tcBorders>
              <w:top w:val="nil"/>
              <w:left w:val="nil"/>
              <w:bottom w:val="double" w:color="505050" w:sz="6"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2. ASEAN-4 Unit Root Test</w:t>
            </w:r>
          </w:p>
        </w:tc>
      </w:tr>
      <w:tr>
        <w:tblPrEx>
          <w:tblLayout w:type="fixed"/>
          <w:tblCellMar>
            <w:top w:w="0" w:type="dxa"/>
            <w:left w:w="108" w:type="dxa"/>
            <w:bottom w:w="0" w:type="dxa"/>
            <w:right w:w="108" w:type="dxa"/>
          </w:tblCellMar>
        </w:tblPrEx>
        <w:trPr>
          <w:trHeight w:val="270" w:hRule="atLeast"/>
        </w:trPr>
        <w:tc>
          <w:tcPr>
            <w:tcW w:w="910"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Variable</w:t>
            </w:r>
          </w:p>
        </w:tc>
        <w:tc>
          <w:tcPr>
            <w:tcW w:w="3632" w:type="dxa"/>
            <w:gridSpan w:val="4"/>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PP Test</w:t>
            </w:r>
          </w:p>
        </w:tc>
        <w:tc>
          <w:tcPr>
            <w:tcW w:w="3747" w:type="dxa"/>
            <w:gridSpan w:val="4"/>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KPPS Test</w:t>
            </w:r>
          </w:p>
        </w:tc>
        <w:tc>
          <w:tcPr>
            <w:tcW w:w="1132"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Countries</w:t>
            </w:r>
          </w:p>
        </w:tc>
      </w:tr>
      <w:tr>
        <w:tblPrEx>
          <w:tblLayout w:type="fixed"/>
          <w:tblCellMar>
            <w:top w:w="0" w:type="dxa"/>
            <w:left w:w="108" w:type="dxa"/>
            <w:bottom w:w="0" w:type="dxa"/>
            <w:right w:w="108" w:type="dxa"/>
          </w:tblCellMar>
        </w:tblPrEx>
        <w:trPr>
          <w:trHeight w:val="255" w:hRule="atLeast"/>
        </w:trPr>
        <w:tc>
          <w:tcPr>
            <w:tcW w:w="910"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c>
          <w:tcPr>
            <w:tcW w:w="1802" w:type="dxa"/>
            <w:gridSpan w:val="2"/>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Level</w:t>
            </w:r>
          </w:p>
        </w:tc>
        <w:tc>
          <w:tcPr>
            <w:tcW w:w="1830" w:type="dxa"/>
            <w:gridSpan w:val="2"/>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1</w:t>
            </w:r>
            <w:r>
              <w:rPr>
                <w:rFonts w:ascii="Times New Roman" w:hAnsi="Times New Roman" w:eastAsia="Times New Roman" w:cs="Times New Roman"/>
                <w:b/>
                <w:bCs/>
                <w:color w:val="000000"/>
                <w:szCs w:val="22"/>
                <w:vertAlign w:val="superscript"/>
                <w:lang w:eastAsia="id-ID"/>
              </w:rPr>
              <w:t>st</w:t>
            </w:r>
            <w:r>
              <w:rPr>
                <w:rFonts w:ascii="Times New Roman" w:hAnsi="Times New Roman" w:eastAsia="Times New Roman" w:cs="Times New Roman"/>
                <w:b/>
                <w:bCs/>
                <w:color w:val="000000"/>
                <w:szCs w:val="22"/>
                <w:lang w:eastAsia="id-ID"/>
              </w:rPr>
              <w:t xml:space="preserve"> diff</w:t>
            </w:r>
          </w:p>
        </w:tc>
        <w:tc>
          <w:tcPr>
            <w:tcW w:w="1825" w:type="dxa"/>
            <w:gridSpan w:val="2"/>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Level</w:t>
            </w:r>
          </w:p>
        </w:tc>
        <w:tc>
          <w:tcPr>
            <w:tcW w:w="1922" w:type="dxa"/>
            <w:gridSpan w:val="2"/>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1</w:t>
            </w:r>
            <w:r>
              <w:rPr>
                <w:rFonts w:ascii="Times New Roman" w:hAnsi="Times New Roman" w:eastAsia="Times New Roman" w:cs="Times New Roman"/>
                <w:b/>
                <w:bCs/>
                <w:color w:val="000000"/>
                <w:szCs w:val="22"/>
                <w:vertAlign w:val="superscript"/>
                <w:lang w:eastAsia="id-ID"/>
              </w:rPr>
              <w:t>st</w:t>
            </w:r>
            <w:r>
              <w:rPr>
                <w:rFonts w:ascii="Times New Roman" w:hAnsi="Times New Roman" w:eastAsia="Times New Roman" w:cs="Times New Roman"/>
                <w:b/>
                <w:bCs/>
                <w:color w:val="000000"/>
                <w:szCs w:val="22"/>
                <w:lang w:eastAsia="id-ID"/>
              </w:rPr>
              <w:t xml:space="preserve"> diff</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31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SP</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-1,4539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(1)</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-9,7774*</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(1)</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1,1409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0,1057***</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32"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Philippines</w:t>
            </w: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ExR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-0.5343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(6)</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-8,2151*</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(13)</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0,4494**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0,4633*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8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Inf</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-3,0483**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(3)</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-6,4053*</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(3)</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0,7821</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0,1318***</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-1,8569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-7,6139*</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0,3182***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0,298***</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-2,2092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-9,4537*</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0,7711</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0,0892***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GDP</w:t>
            </w:r>
          </w:p>
        </w:tc>
        <w:tc>
          <w:tcPr>
            <w:tcW w:w="10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-4,8868*</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05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-9,5986*</w:t>
            </w:r>
          </w:p>
        </w:tc>
        <w:tc>
          <w:tcPr>
            <w:tcW w:w="78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07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1,3069</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0,257***</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3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0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05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78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07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16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13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SP</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-3,8362*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-10,5922*</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0,9424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0,5495*</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132" w:type="dxa"/>
            <w:vMerge w:val="restart"/>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Malaysia</w:t>
            </w: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ExR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-0,6339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-6,9781*</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0,7556</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0,2753***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Inf</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-3,0611**</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-6,4509*</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0,3788**</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0,1028***</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-1,5001</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-4,0247*</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1,0664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0,0952***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-1,3725</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-12,5624*</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0,7639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0,1265***</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GDP</w:t>
            </w:r>
          </w:p>
        </w:tc>
        <w:tc>
          <w:tcPr>
            <w:tcW w:w="10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0,3787</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05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-5,0594*</w:t>
            </w:r>
          </w:p>
        </w:tc>
        <w:tc>
          <w:tcPr>
            <w:tcW w:w="78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w:t>
            </w:r>
          </w:p>
        </w:tc>
        <w:tc>
          <w:tcPr>
            <w:tcW w:w="107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1,1974</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0,0815***</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13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SP</w:t>
            </w:r>
          </w:p>
        </w:tc>
        <w:tc>
          <w:tcPr>
            <w:tcW w:w="1049"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-1,8407</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w:t>
            </w:r>
          </w:p>
        </w:tc>
        <w:tc>
          <w:tcPr>
            <w:tcW w:w="105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-9,6241*</w:t>
            </w:r>
          </w:p>
        </w:tc>
        <w:tc>
          <w:tcPr>
            <w:tcW w:w="78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072"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1,1871</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0,1682***</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132" w:type="dxa"/>
            <w:vMerge w:val="restart"/>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Indonesia</w:t>
            </w: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ExR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-0,2664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-8,255*</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0,9447</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0,3763**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Inf</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-6,8532*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-19,0946*</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0,1563***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0,0913***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-1,4355</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-4,6058*</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'0,6639*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-1,6859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-6,5141*</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0,2572***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0,1846***</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GDP</w:t>
            </w:r>
          </w:p>
        </w:tc>
        <w:tc>
          <w:tcPr>
            <w:tcW w:w="10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-5,6497*</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05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-10,2541*</w:t>
            </w:r>
          </w:p>
        </w:tc>
        <w:tc>
          <w:tcPr>
            <w:tcW w:w="78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07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1,2917</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0,3192***</w:t>
            </w:r>
          </w:p>
        </w:tc>
        <w:tc>
          <w:tcPr>
            <w:tcW w:w="75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132" w:type="dxa"/>
            <w:vMerge w:val="continue"/>
            <w:tcBorders>
              <w:top w:val="single" w:color="505050" w:sz="4" w:space="0"/>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13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SP</w:t>
            </w:r>
          </w:p>
        </w:tc>
        <w:tc>
          <w:tcPr>
            <w:tcW w:w="1049"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-1,8604</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05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-9,0641*</w:t>
            </w:r>
          </w:p>
        </w:tc>
        <w:tc>
          <w:tcPr>
            <w:tcW w:w="780"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072"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1,049</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0,1632***</w:t>
            </w:r>
          </w:p>
        </w:tc>
        <w:tc>
          <w:tcPr>
            <w:tcW w:w="75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32" w:type="dxa"/>
            <w:vMerge w:val="restart"/>
            <w:tcBorders>
              <w:top w:val="single" w:color="505050" w:sz="4" w:space="0"/>
              <w:left w:val="nil"/>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Thailand</w:t>
            </w: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ExR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-1,6063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-6,3421*</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0,4326**</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0,2601***</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32" w:type="dxa"/>
            <w:vMerge w:val="continue"/>
            <w:tcBorders>
              <w:top w:val="double" w:color="505050" w:sz="6" w:space="0"/>
              <w:left w:val="nil"/>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Inf</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-1,9317</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-8,4112*</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0,7338*</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0,0555***</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32" w:type="dxa"/>
            <w:vMerge w:val="continue"/>
            <w:tcBorders>
              <w:top w:val="double" w:color="505050" w:sz="6" w:space="0"/>
              <w:left w:val="nil"/>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-1,3544</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-4,2908*</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(21)</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0,9343</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0.1070***</w:t>
            </w:r>
          </w:p>
        </w:tc>
        <w:tc>
          <w:tcPr>
            <w:tcW w:w="753"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32" w:type="dxa"/>
            <w:vMerge w:val="continue"/>
            <w:tcBorders>
              <w:top w:val="double" w:color="505050" w:sz="6" w:space="0"/>
              <w:left w:val="nil"/>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55" w:hRule="atLeast"/>
        </w:trPr>
        <w:tc>
          <w:tcPr>
            <w:tcW w:w="91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10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-1,2912</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05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-8,8720*</w:t>
            </w:r>
          </w:p>
        </w:tc>
        <w:tc>
          <w:tcPr>
            <w:tcW w:w="78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w:t>
            </w:r>
          </w:p>
        </w:tc>
        <w:tc>
          <w:tcPr>
            <w:tcW w:w="107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0,6679*</w:t>
            </w:r>
          </w:p>
        </w:tc>
        <w:tc>
          <w:tcPr>
            <w:tcW w:w="75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0,1194***</w:t>
            </w:r>
          </w:p>
        </w:tc>
        <w:tc>
          <w:tcPr>
            <w:tcW w:w="753" w:type="dxa"/>
            <w:tcBorders>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1132" w:type="dxa"/>
            <w:vMerge w:val="continue"/>
            <w:tcBorders>
              <w:left w:val="nil"/>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r>
        <w:tblPrEx>
          <w:tblLayout w:type="fixed"/>
          <w:tblCellMar>
            <w:top w:w="0" w:type="dxa"/>
            <w:left w:w="108" w:type="dxa"/>
            <w:bottom w:w="0" w:type="dxa"/>
            <w:right w:w="108" w:type="dxa"/>
          </w:tblCellMar>
        </w:tblPrEx>
        <w:trPr>
          <w:trHeight w:val="270" w:hRule="atLeast"/>
        </w:trPr>
        <w:tc>
          <w:tcPr>
            <w:tcW w:w="910"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GDP</w:t>
            </w:r>
          </w:p>
        </w:tc>
        <w:tc>
          <w:tcPr>
            <w:tcW w:w="1049"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0,3938</w:t>
            </w:r>
          </w:p>
        </w:tc>
        <w:tc>
          <w:tcPr>
            <w:tcW w:w="753"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050"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-2,9817**</w:t>
            </w:r>
          </w:p>
        </w:tc>
        <w:tc>
          <w:tcPr>
            <w:tcW w:w="780"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1072"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1,1694</w:t>
            </w:r>
          </w:p>
        </w:tc>
        <w:tc>
          <w:tcPr>
            <w:tcW w:w="753"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w:t>
            </w:r>
          </w:p>
        </w:tc>
        <w:tc>
          <w:tcPr>
            <w:tcW w:w="1169"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0,0897***</w:t>
            </w:r>
          </w:p>
        </w:tc>
        <w:tc>
          <w:tcPr>
            <w:tcW w:w="753" w:type="dxa"/>
            <w:tcBorders>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w:t>
            </w:r>
          </w:p>
        </w:tc>
        <w:tc>
          <w:tcPr>
            <w:tcW w:w="1132" w:type="dxa"/>
            <w:vMerge w:val="continue"/>
            <w:tcBorders>
              <w:left w:val="nil"/>
              <w:bottom w:val="double" w:color="505050" w:sz="6"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r>
    </w:tbl>
    <w:p>
      <w:pPr>
        <w:tabs>
          <w:tab w:val="center" w:pos="4513"/>
          <w:tab w:val="left" w:pos="6120"/>
        </w:tabs>
        <w:rPr>
          <w:rFonts w:ascii="Times New Roman" w:hAnsi="Times New Roman" w:cs="Times New Roman"/>
          <w:color w:val="000000" w:themeColor="text1"/>
          <w:szCs w:val="22"/>
        </w:rPr>
      </w:pPr>
      <w:r>
        <w:rPr>
          <w:rFonts w:ascii="Times New Roman" w:hAnsi="Times New Roman" w:cs="Times New Roman"/>
          <w:color w:val="000000" w:themeColor="text1"/>
          <w:szCs w:val="22"/>
        </w:rPr>
        <w:t>Note: *, **, and *** indicates significant at 1%, 5%, and 10%  level. The parenthesis are a lag length based on Akaike's Information Criteria (AIC).</w:t>
      </w:r>
    </w:p>
    <w:p>
      <w:pPr>
        <w:jc w:val="both"/>
        <w:rPr>
          <w:rFonts w:ascii="Times New Roman" w:hAnsi="Times New Roman" w:cs="Times New Roman"/>
          <w:i/>
          <w:color w:val="000000" w:themeColor="text1"/>
          <w:szCs w:val="22"/>
        </w:rPr>
      </w:pPr>
      <w:r>
        <w:rPr>
          <w:rFonts w:ascii="Times New Roman" w:hAnsi="Times New Roman" w:cs="Times New Roman"/>
          <w:i/>
          <w:color w:val="000000" w:themeColor="text1"/>
          <w:szCs w:val="22"/>
        </w:rPr>
        <w:t>4.2 The ASEAN-4 Cointegration Test</w:t>
      </w:r>
    </w:p>
    <w:p>
      <w:pPr>
        <w:spacing w:after="0"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After the unit root test performed, the bound cointegration test of ARDL is applied to see the cointegration between stock prices and macroeconomic variables. One of the advantages of ARDL is that it can be applied to equations where there are different degrees of integration between the variables. Another requirement is ARDL can not be performed if there are stationary variables on I (2). Cointegration test results can be seen in table 3 with the dependent variable is the stock price (SP). In this test, As in the unit root test, lag length for depedent variables and regressors we choose by using AIC criteria for Philippines, Malaysia, Indonesia, and Thailand. To avoid the problem of autocorrelation, for Thailand we use the rule oft humbs lags 10. Brandt and Williams (2007) stated that for the rule of thumbs, the autoregressive model must include enough lag to capture the cyclical phenomena in the data. For monthly and quarterly data there are usually monthly cycles that carried over from year to year and month to month, so to strengthen the estimates it should be possible used lag 8 or 10 to solve the problem. The bound test concludes there is the long-term cointegration of four ASEAN-4 countries where the F-statistic value is greater than the critical value of upper bounds I (1) of Pesaran, Shin, and Smith (2001).</w:t>
      </w:r>
    </w:p>
    <w:tbl>
      <w:tblPr>
        <w:tblStyle w:val="7"/>
        <w:tblW w:w="9483" w:type="dxa"/>
        <w:tblInd w:w="93" w:type="dxa"/>
        <w:tblLayout w:type="fixed"/>
        <w:tblCellMar>
          <w:top w:w="0" w:type="dxa"/>
          <w:left w:w="108" w:type="dxa"/>
          <w:bottom w:w="0" w:type="dxa"/>
          <w:right w:w="108" w:type="dxa"/>
        </w:tblCellMar>
      </w:tblPr>
      <w:tblGrid>
        <w:gridCol w:w="904"/>
        <w:gridCol w:w="904"/>
        <w:gridCol w:w="849"/>
        <w:gridCol w:w="1162"/>
        <w:gridCol w:w="848"/>
        <w:gridCol w:w="848"/>
        <w:gridCol w:w="262"/>
        <w:gridCol w:w="848"/>
        <w:gridCol w:w="1162"/>
        <w:gridCol w:w="848"/>
        <w:gridCol w:w="848"/>
      </w:tblGrid>
      <w:tr>
        <w:tblPrEx>
          <w:tblLayout w:type="fixed"/>
          <w:tblCellMar>
            <w:top w:w="0" w:type="dxa"/>
            <w:left w:w="108" w:type="dxa"/>
            <w:bottom w:w="0" w:type="dxa"/>
            <w:right w:w="108" w:type="dxa"/>
          </w:tblCellMar>
        </w:tblPrEx>
        <w:trPr>
          <w:trHeight w:val="315" w:hRule="atLeast"/>
        </w:trPr>
        <w:tc>
          <w:tcPr>
            <w:tcW w:w="9483" w:type="dxa"/>
            <w:gridSpan w:val="11"/>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3. Bounds Test of Cointegration ASEAN-4</w:t>
            </w:r>
          </w:p>
        </w:tc>
      </w:tr>
      <w:tr>
        <w:tblPrEx>
          <w:tblLayout w:type="fixed"/>
          <w:tblCellMar>
            <w:top w:w="0" w:type="dxa"/>
            <w:left w:w="108" w:type="dxa"/>
            <w:bottom w:w="0" w:type="dxa"/>
            <w:right w:w="108" w:type="dxa"/>
          </w:tblCellMar>
        </w:tblPrEx>
        <w:trPr>
          <w:trHeight w:val="315" w:hRule="atLeast"/>
        </w:trPr>
        <w:tc>
          <w:tcPr>
            <w:tcW w:w="1808" w:type="dxa"/>
            <w:gridSpan w:val="2"/>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Model: </w:t>
            </w:r>
          </w:p>
        </w:tc>
        <w:tc>
          <w:tcPr>
            <w:tcW w:w="3707" w:type="dxa"/>
            <w:gridSpan w:val="4"/>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FSP(SP|ExR, Inf, CuA, InR, GDP)</w:t>
            </w:r>
            <w:r>
              <w:rPr>
                <w:rFonts w:ascii="Times New Roman" w:hAnsi="Times New Roman" w:eastAsia="Times New Roman" w:cs="Times New Roman"/>
                <w:b/>
                <w:bCs/>
                <w:color w:val="000000"/>
                <w:szCs w:val="22"/>
                <w:vertAlign w:val="subscript"/>
                <w:lang w:eastAsia="id-ID"/>
              </w:rPr>
              <w:t>Philippines</w:t>
            </w:r>
          </w:p>
        </w:tc>
        <w:tc>
          <w:tcPr>
            <w:tcW w:w="262"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FSP(SP|ExR, Inf, CuA, InR, GDP)</w:t>
            </w:r>
            <w:r>
              <w:rPr>
                <w:rFonts w:ascii="Times New Roman" w:hAnsi="Times New Roman" w:eastAsia="Times New Roman" w:cs="Times New Roman"/>
                <w:b/>
                <w:bCs/>
                <w:color w:val="000000"/>
                <w:szCs w:val="22"/>
                <w:vertAlign w:val="subscript"/>
                <w:lang w:eastAsia="id-ID"/>
              </w:rPr>
              <w:t>Malaysia</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i/>
                <w:color w:val="000000"/>
                <w:szCs w:val="22"/>
                <w:lang w:eastAsia="id-ID"/>
              </w:rPr>
              <w:t>F-Statistics</w:t>
            </w:r>
            <w:r>
              <w:rPr>
                <w:rFonts w:ascii="Times New Roman" w:hAnsi="Times New Roman" w:eastAsia="Times New Roman" w:cs="Times New Roman"/>
                <w:color w:val="000000"/>
                <w:szCs w:val="22"/>
                <w:lang w:eastAsia="id-ID"/>
              </w:rPr>
              <w:t xml:space="preserve"> </w:t>
            </w:r>
          </w:p>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(Bound Test)</w:t>
            </w:r>
          </w:p>
        </w:tc>
        <w:tc>
          <w:tcPr>
            <w:tcW w:w="3707" w:type="dxa"/>
            <w:gridSpan w:val="4"/>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3.1458*</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single" w:color="505050" w:sz="4"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4.2154*</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Critical Values</w:t>
            </w:r>
          </w:p>
        </w:tc>
        <w:tc>
          <w:tcPr>
            <w:tcW w:w="8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2.50%</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w:t>
            </w:r>
          </w:p>
        </w:tc>
        <w:tc>
          <w:tcPr>
            <w:tcW w:w="262" w:type="dxa"/>
            <w:tcBorders>
              <w:top w:val="single" w:color="505050" w:sz="4" w:space="0"/>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2.50%</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Upper Bounds I(1)</w:t>
            </w:r>
          </w:p>
        </w:tc>
        <w:tc>
          <w:tcPr>
            <w:tcW w:w="84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3.06</w:t>
            </w:r>
          </w:p>
        </w:tc>
        <w:tc>
          <w:tcPr>
            <w:tcW w:w="11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2.39</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w:t>
            </w:r>
          </w:p>
        </w:tc>
        <w:tc>
          <w:tcPr>
            <w:tcW w:w="262"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4.15</w:t>
            </w:r>
          </w:p>
        </w:tc>
        <w:tc>
          <w:tcPr>
            <w:tcW w:w="11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3.73</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3.38</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Lower Bounds I(0)</w:t>
            </w:r>
          </w:p>
        </w:tc>
        <w:tc>
          <w:tcPr>
            <w:tcW w:w="8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4.15</w:t>
            </w:r>
          </w:p>
        </w:tc>
        <w:tc>
          <w:tcPr>
            <w:tcW w:w="11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3.73</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3.38</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262"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3.06</w:t>
            </w:r>
          </w:p>
        </w:tc>
        <w:tc>
          <w:tcPr>
            <w:tcW w:w="11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2.39</w:t>
            </w:r>
          </w:p>
        </w:tc>
        <w:tc>
          <w:tcPr>
            <w:tcW w:w="84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k</w:t>
            </w:r>
          </w:p>
        </w:tc>
        <w:tc>
          <w:tcPr>
            <w:tcW w:w="3707" w:type="dxa"/>
            <w:gridSpan w:val="4"/>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262"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Lag length</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(5,5)</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(8,8)</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R</w:t>
            </w:r>
            <w:r>
              <w:rPr>
                <w:rFonts w:ascii="Times New Roman" w:hAnsi="Times New Roman" w:eastAsia="Times New Roman" w:cs="Times New Roman"/>
                <w:color w:val="000000"/>
                <w:szCs w:val="22"/>
                <w:vertAlign w:val="superscript"/>
                <w:lang w:eastAsia="id-ID"/>
              </w:rPr>
              <w:t>2</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0.3658</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0.3385</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Adj. R</w:t>
            </w:r>
            <w:r>
              <w:rPr>
                <w:rFonts w:ascii="Times New Roman" w:hAnsi="Times New Roman" w:eastAsia="Times New Roman" w:cs="Times New Roman"/>
                <w:color w:val="000000"/>
                <w:szCs w:val="22"/>
                <w:vertAlign w:val="superscript"/>
                <w:lang w:eastAsia="id-ID"/>
              </w:rPr>
              <w:t>2</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0.2625</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0.2333</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i/>
                <w:color w:val="000000"/>
                <w:szCs w:val="22"/>
                <w:lang w:eastAsia="id-ID"/>
              </w:rPr>
            </w:pPr>
            <w:r>
              <w:rPr>
                <w:rFonts w:ascii="Times New Roman" w:hAnsi="Times New Roman" w:eastAsia="Times New Roman" w:cs="Times New Roman"/>
                <w:i/>
                <w:color w:val="000000"/>
                <w:szCs w:val="22"/>
                <w:lang w:eastAsia="id-ID"/>
              </w:rPr>
              <w:t>F-Statistics</w:t>
            </w:r>
          </w:p>
        </w:tc>
        <w:tc>
          <w:tcPr>
            <w:tcW w:w="3707" w:type="dxa"/>
            <w:gridSpan w:val="4"/>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3.5428</w:t>
            </w:r>
          </w:p>
        </w:tc>
        <w:tc>
          <w:tcPr>
            <w:tcW w:w="2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3.2171</w:t>
            </w:r>
          </w:p>
        </w:tc>
      </w:tr>
      <w:tr>
        <w:tblPrEx>
          <w:tblLayout w:type="fixed"/>
          <w:tblCellMar>
            <w:top w:w="0" w:type="dxa"/>
            <w:left w:w="108" w:type="dxa"/>
            <w:bottom w:w="0" w:type="dxa"/>
            <w:right w:w="108" w:type="dxa"/>
          </w:tblCellMar>
        </w:tblPrEx>
        <w:trPr>
          <w:trHeight w:val="300" w:hRule="atLeast"/>
        </w:trPr>
        <w:tc>
          <w:tcPr>
            <w:tcW w:w="904"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904"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1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2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162"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Model:</w:t>
            </w:r>
          </w:p>
        </w:tc>
        <w:tc>
          <w:tcPr>
            <w:tcW w:w="3707" w:type="dxa"/>
            <w:gridSpan w:val="4"/>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FSP(SP|ExR, Inf, CuA, InR, GDP)</w:t>
            </w:r>
            <w:r>
              <w:rPr>
                <w:rFonts w:ascii="Times New Roman" w:hAnsi="Times New Roman" w:eastAsia="Times New Roman" w:cs="Times New Roman"/>
                <w:b/>
                <w:bCs/>
                <w:color w:val="000000"/>
                <w:szCs w:val="22"/>
                <w:vertAlign w:val="subscript"/>
                <w:lang w:eastAsia="id-ID"/>
              </w:rPr>
              <w:t>Indonesia</w:t>
            </w:r>
          </w:p>
        </w:tc>
        <w:tc>
          <w:tcPr>
            <w:tcW w:w="262" w:type="dxa"/>
            <w:tcBorders>
              <w:top w:val="nil"/>
              <w:left w:val="nil"/>
              <w:bottom w:val="single" w:color="auto"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FSP(SP|ExR, Inf, CuA, InR, GDP)</w:t>
            </w:r>
            <w:r>
              <w:rPr>
                <w:rFonts w:ascii="Times New Roman" w:hAnsi="Times New Roman" w:eastAsia="Times New Roman" w:cs="Times New Roman"/>
                <w:b/>
                <w:bCs/>
                <w:color w:val="000000"/>
                <w:szCs w:val="22"/>
                <w:vertAlign w:val="subscript"/>
                <w:lang w:eastAsia="id-ID"/>
              </w:rPr>
              <w:t>Thailand</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auto" w:sz="4" w:space="0"/>
              <w:left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F-Statistics   (Bound Test)</w:t>
            </w:r>
          </w:p>
        </w:tc>
        <w:tc>
          <w:tcPr>
            <w:tcW w:w="3707" w:type="dxa"/>
            <w:gridSpan w:val="4"/>
            <w:tcBorders>
              <w:top w:val="single" w:color="auto" w:sz="4" w:space="0"/>
              <w:left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4.1062*</w:t>
            </w:r>
          </w:p>
        </w:tc>
        <w:tc>
          <w:tcPr>
            <w:tcW w:w="262" w:type="dxa"/>
            <w:tcBorders>
              <w:top w:val="single" w:color="auto" w:sz="4" w:space="0"/>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single" w:color="auto" w:sz="4" w:space="0"/>
              <w:left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3.7522*</w:t>
            </w:r>
          </w:p>
        </w:tc>
      </w:tr>
      <w:tr>
        <w:tblPrEx>
          <w:tblLayout w:type="fixed"/>
          <w:tblCellMar>
            <w:top w:w="0" w:type="dxa"/>
            <w:left w:w="108" w:type="dxa"/>
            <w:bottom w:w="0" w:type="dxa"/>
            <w:right w:w="108" w:type="dxa"/>
          </w:tblCellMar>
        </w:tblPrEx>
        <w:trPr>
          <w:trHeight w:val="300" w:hRule="atLeast"/>
        </w:trPr>
        <w:tc>
          <w:tcPr>
            <w:tcW w:w="1808" w:type="dxa"/>
            <w:gridSpan w:val="2"/>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Critical Values</w:t>
            </w:r>
          </w:p>
        </w:tc>
        <w:tc>
          <w:tcPr>
            <w:tcW w:w="849"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62"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2.50%</w:t>
            </w:r>
          </w:p>
        </w:tc>
        <w:tc>
          <w:tcPr>
            <w:tcW w:w="848"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848"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w:t>
            </w:r>
          </w:p>
        </w:tc>
        <w:tc>
          <w:tcPr>
            <w:tcW w:w="262"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848"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1162"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2.50%</w:t>
            </w:r>
          </w:p>
        </w:tc>
        <w:tc>
          <w:tcPr>
            <w:tcW w:w="848"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848" w:type="dxa"/>
            <w:tcBorders>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505050" w:sz="4" w:space="0"/>
              <w:left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Upper Bounds I(0)</w:t>
            </w:r>
          </w:p>
        </w:tc>
        <w:tc>
          <w:tcPr>
            <w:tcW w:w="849"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3.06</w:t>
            </w:r>
          </w:p>
        </w:tc>
        <w:tc>
          <w:tcPr>
            <w:tcW w:w="1162"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w:t>
            </w:r>
          </w:p>
        </w:tc>
        <w:tc>
          <w:tcPr>
            <w:tcW w:w="848"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2.39</w:t>
            </w:r>
          </w:p>
        </w:tc>
        <w:tc>
          <w:tcPr>
            <w:tcW w:w="848"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w:t>
            </w:r>
          </w:p>
        </w:tc>
        <w:tc>
          <w:tcPr>
            <w:tcW w:w="262" w:type="dxa"/>
            <w:tcBorders>
              <w:top w:val="nil"/>
              <w:left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848"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3.06</w:t>
            </w:r>
          </w:p>
        </w:tc>
        <w:tc>
          <w:tcPr>
            <w:tcW w:w="1162"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w:t>
            </w:r>
          </w:p>
        </w:tc>
        <w:tc>
          <w:tcPr>
            <w:tcW w:w="848"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2.39</w:t>
            </w:r>
          </w:p>
        </w:tc>
        <w:tc>
          <w:tcPr>
            <w:tcW w:w="848" w:type="dxa"/>
            <w:tcBorders>
              <w:top w:val="nil"/>
              <w:left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single" w:color="auto"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Lower Bounds I(1)</w:t>
            </w:r>
          </w:p>
        </w:tc>
        <w:tc>
          <w:tcPr>
            <w:tcW w:w="84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4.15</w:t>
            </w:r>
          </w:p>
        </w:tc>
        <w:tc>
          <w:tcPr>
            <w:tcW w:w="1162"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3.73</w:t>
            </w:r>
          </w:p>
        </w:tc>
        <w:tc>
          <w:tcPr>
            <w:tcW w:w="84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3.38</w:t>
            </w:r>
          </w:p>
        </w:tc>
        <w:tc>
          <w:tcPr>
            <w:tcW w:w="84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c>
          <w:tcPr>
            <w:tcW w:w="262" w:type="dxa"/>
            <w:tcBorders>
              <w:top w:val="nil"/>
              <w:left w:val="nil"/>
              <w:bottom w:val="single" w:color="auto"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84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4.15</w:t>
            </w:r>
          </w:p>
        </w:tc>
        <w:tc>
          <w:tcPr>
            <w:tcW w:w="1162"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3.73</w:t>
            </w:r>
          </w:p>
        </w:tc>
        <w:tc>
          <w:tcPr>
            <w:tcW w:w="84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3.38</w:t>
            </w:r>
          </w:p>
        </w:tc>
        <w:tc>
          <w:tcPr>
            <w:tcW w:w="84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w:t>
            </w:r>
          </w:p>
        </w:tc>
      </w:tr>
      <w:tr>
        <w:tblPrEx>
          <w:tblLayout w:type="fixed"/>
          <w:tblCellMar>
            <w:top w:w="0" w:type="dxa"/>
            <w:left w:w="108" w:type="dxa"/>
            <w:bottom w:w="0" w:type="dxa"/>
            <w:right w:w="108" w:type="dxa"/>
          </w:tblCellMar>
        </w:tblPrEx>
        <w:trPr>
          <w:trHeight w:val="300" w:hRule="atLeast"/>
        </w:trPr>
        <w:tc>
          <w:tcPr>
            <w:tcW w:w="1808" w:type="dxa"/>
            <w:gridSpan w:val="2"/>
            <w:tcBorders>
              <w:top w:val="single" w:color="auto" w:sz="4" w:space="0"/>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k</w:t>
            </w:r>
          </w:p>
        </w:tc>
        <w:tc>
          <w:tcPr>
            <w:tcW w:w="3707" w:type="dxa"/>
            <w:gridSpan w:val="4"/>
            <w:tcBorders>
              <w:top w:val="single" w:color="auto"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c>
          <w:tcPr>
            <w:tcW w:w="262" w:type="dxa"/>
            <w:tcBorders>
              <w:top w:val="single" w:color="auto"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single" w:color="auto"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Lag length</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(6,6)</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(10,10)</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R</w:t>
            </w:r>
            <w:r>
              <w:rPr>
                <w:rFonts w:ascii="Times New Roman" w:hAnsi="Times New Roman" w:eastAsia="Times New Roman" w:cs="Times New Roman"/>
                <w:color w:val="000000"/>
                <w:szCs w:val="22"/>
                <w:vertAlign w:val="superscript"/>
                <w:lang w:eastAsia="id-ID"/>
              </w:rPr>
              <w:t>2</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0.3317</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0.5915</w:t>
            </w:r>
          </w:p>
        </w:tc>
      </w:tr>
      <w:tr>
        <w:tblPrEx>
          <w:tblLayout w:type="fixed"/>
          <w:tblCellMar>
            <w:top w:w="0" w:type="dxa"/>
            <w:left w:w="108" w:type="dxa"/>
            <w:bottom w:w="0" w:type="dxa"/>
            <w:right w:w="108" w:type="dxa"/>
          </w:tblCellMar>
        </w:tblPrEx>
        <w:trPr>
          <w:trHeight w:val="300" w:hRule="atLeast"/>
        </w:trPr>
        <w:tc>
          <w:tcPr>
            <w:tcW w:w="1808" w:type="dxa"/>
            <w:gridSpan w:val="2"/>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Adj. R</w:t>
            </w:r>
            <w:r>
              <w:rPr>
                <w:rFonts w:ascii="Times New Roman" w:hAnsi="Times New Roman" w:eastAsia="Times New Roman" w:cs="Times New Roman"/>
                <w:color w:val="000000"/>
                <w:szCs w:val="22"/>
                <w:vertAlign w:val="superscript"/>
                <w:lang w:eastAsia="id-ID"/>
              </w:rPr>
              <w:t>2</w:t>
            </w:r>
          </w:p>
        </w:tc>
        <w:tc>
          <w:tcPr>
            <w:tcW w:w="3707"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0.2341</w:t>
            </w:r>
          </w:p>
        </w:tc>
        <w:tc>
          <w:tcPr>
            <w:tcW w:w="26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3706" w:type="dxa"/>
            <w:gridSpan w:val="4"/>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0.4646</w:t>
            </w:r>
          </w:p>
        </w:tc>
      </w:tr>
      <w:tr>
        <w:tblPrEx>
          <w:tblLayout w:type="fixed"/>
          <w:tblCellMar>
            <w:top w:w="0" w:type="dxa"/>
            <w:left w:w="108" w:type="dxa"/>
            <w:bottom w:w="0" w:type="dxa"/>
            <w:right w:w="108" w:type="dxa"/>
          </w:tblCellMar>
        </w:tblPrEx>
        <w:trPr>
          <w:trHeight w:val="315" w:hRule="atLeast"/>
        </w:trPr>
        <w:tc>
          <w:tcPr>
            <w:tcW w:w="1808" w:type="dxa"/>
            <w:gridSpan w:val="2"/>
            <w:tcBorders>
              <w:top w:val="nil"/>
              <w:left w:val="nil"/>
              <w:bottom w:val="double" w:color="505050" w:sz="6" w:space="0"/>
              <w:right w:val="nil"/>
            </w:tcBorders>
            <w:shd w:val="clear" w:color="auto" w:fill="auto"/>
            <w:vAlign w:val="bottom"/>
          </w:tcPr>
          <w:p>
            <w:pPr>
              <w:spacing w:after="0" w:line="240" w:lineRule="auto"/>
              <w:rPr>
                <w:rFonts w:ascii="Times New Roman" w:hAnsi="Times New Roman" w:eastAsia="Times New Roman" w:cs="Times New Roman"/>
                <w:i/>
                <w:color w:val="000000"/>
                <w:szCs w:val="22"/>
                <w:lang w:eastAsia="id-ID"/>
              </w:rPr>
            </w:pPr>
            <w:r>
              <w:rPr>
                <w:rFonts w:ascii="Times New Roman" w:hAnsi="Times New Roman" w:eastAsia="Times New Roman" w:cs="Times New Roman"/>
                <w:i/>
                <w:color w:val="000000"/>
                <w:szCs w:val="22"/>
                <w:lang w:eastAsia="id-ID"/>
              </w:rPr>
              <w:t>F-Statistics</w:t>
            </w:r>
          </w:p>
        </w:tc>
        <w:tc>
          <w:tcPr>
            <w:tcW w:w="3707" w:type="dxa"/>
            <w:gridSpan w:val="4"/>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3.3982</w:t>
            </w:r>
          </w:p>
        </w:tc>
        <w:tc>
          <w:tcPr>
            <w:tcW w:w="262"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3706" w:type="dxa"/>
            <w:gridSpan w:val="4"/>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4.6591</w:t>
            </w:r>
          </w:p>
        </w:tc>
      </w:tr>
    </w:tbl>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12121"/>
          <w:szCs w:val="22"/>
          <w:lang w:eastAsia="id-ID"/>
        </w:rPr>
      </w:pPr>
      <w:r>
        <w:rPr>
          <w:rFonts w:ascii="Times New Roman" w:hAnsi="Times New Roman" w:eastAsia="Times New Roman" w:cs="Times New Roman"/>
          <w:color w:val="212121"/>
          <w:szCs w:val="22"/>
          <w:lang w:eastAsia="id-ID"/>
        </w:rPr>
        <w:t>Note: * indicates significant at 1% level.</w:t>
      </w:r>
    </w:p>
    <w:p>
      <w:pPr>
        <w:spacing w:after="0"/>
        <w:jc w:val="both"/>
        <w:rPr>
          <w:rFonts w:ascii="Times New Roman" w:hAnsi="Times New Roman" w:cs="Times New Roman"/>
          <w:color w:val="000000" w:themeColor="text1"/>
          <w:szCs w:val="22"/>
        </w:rPr>
      </w:pPr>
    </w:p>
    <w:p>
      <w:pPr>
        <w:spacing w:after="0"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For the short term it is concluded from the four ASEAN-4 countries there is a short-term cointegration where ECT</w:t>
      </w:r>
      <w:r>
        <w:rPr>
          <w:rFonts w:ascii="Times New Roman" w:hAnsi="Times New Roman" w:cs="Times New Roman"/>
          <w:color w:val="000000" w:themeColor="text1"/>
          <w:szCs w:val="22"/>
          <w:vertAlign w:val="subscript"/>
        </w:rPr>
        <w:t xml:space="preserve">t-1 </w:t>
      </w:r>
      <w:r>
        <w:rPr>
          <w:rFonts w:ascii="Times New Roman" w:hAnsi="Times New Roman" w:cs="Times New Roman"/>
          <w:color w:val="000000" w:themeColor="text1"/>
          <w:szCs w:val="22"/>
        </w:rPr>
        <w:t>values ​​are negative and significant at 1% level. This indicates that the presence of disequilibrium at current time will be corrected in the next month for each ASEAN-4 country. For Philippines, 23.24% disequilibrium at current time will be corrected in the next month.While Malaysia, Indonesia, and Thailand are 18.54%, 14.12%, and 11.16% respectively. Table 4 is an ARDL with error correction model and long-term estimation of ASEAN-4. From the long-term equation, it is found that exchange rate and GDP have a significant effect on stock prices in all ASEAN-4 countries. While other variables have no effect, except current account for Malaysia.</w:t>
      </w:r>
    </w:p>
    <w:tbl>
      <w:tblPr>
        <w:tblStyle w:val="7"/>
        <w:tblW w:w="7200" w:type="dxa"/>
        <w:jc w:val="center"/>
        <w:tblInd w:w="91" w:type="dxa"/>
        <w:tblLayout w:type="fixed"/>
        <w:tblCellMar>
          <w:top w:w="0" w:type="dxa"/>
          <w:left w:w="108" w:type="dxa"/>
          <w:bottom w:w="0" w:type="dxa"/>
          <w:right w:w="108" w:type="dxa"/>
        </w:tblCellMar>
      </w:tblPr>
      <w:tblGrid>
        <w:gridCol w:w="1016"/>
        <w:gridCol w:w="1408"/>
        <w:gridCol w:w="1493"/>
        <w:gridCol w:w="1790"/>
        <w:gridCol w:w="1493"/>
      </w:tblGrid>
      <w:tr>
        <w:tblPrEx>
          <w:tblLayout w:type="fixed"/>
          <w:tblCellMar>
            <w:top w:w="0" w:type="dxa"/>
            <w:left w:w="108" w:type="dxa"/>
            <w:bottom w:w="0" w:type="dxa"/>
            <w:right w:w="108" w:type="dxa"/>
          </w:tblCellMar>
        </w:tblPrEx>
        <w:trPr>
          <w:trHeight w:val="315" w:hRule="atLeast"/>
          <w:jc w:val="center"/>
        </w:trPr>
        <w:tc>
          <w:tcPr>
            <w:tcW w:w="7200" w:type="dxa"/>
            <w:gridSpan w:val="5"/>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4. ARDL Cointegration for ASEAN-4</w:t>
            </w:r>
          </w:p>
        </w:tc>
      </w:tr>
      <w:tr>
        <w:tblPrEx>
          <w:tblLayout w:type="fixed"/>
          <w:tblCellMar>
            <w:top w:w="0" w:type="dxa"/>
            <w:left w:w="108" w:type="dxa"/>
            <w:bottom w:w="0" w:type="dxa"/>
            <w:right w:w="108" w:type="dxa"/>
          </w:tblCellMar>
        </w:tblPrEx>
        <w:trPr>
          <w:trHeight w:val="315" w:hRule="atLeast"/>
          <w:jc w:val="center"/>
        </w:trPr>
        <w:tc>
          <w:tcPr>
            <w:tcW w:w="7200" w:type="dxa"/>
            <w:gridSpan w:val="5"/>
            <w:tcBorders>
              <w:top w:val="double" w:color="505050" w:sz="6" w:space="0"/>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Estimation 1: ARDL with ECM</w:t>
            </w:r>
          </w:p>
        </w:tc>
      </w:tr>
      <w:tr>
        <w:tblPrEx>
          <w:tblLayout w:type="fixed"/>
          <w:tblCellMar>
            <w:top w:w="0" w:type="dxa"/>
            <w:left w:w="108" w:type="dxa"/>
            <w:bottom w:w="0" w:type="dxa"/>
            <w:right w:w="108" w:type="dxa"/>
          </w:tblCellMar>
        </w:tblPrEx>
        <w:trPr>
          <w:trHeight w:val="300" w:hRule="atLeast"/>
          <w:jc w:val="center"/>
        </w:trPr>
        <w:tc>
          <w:tcPr>
            <w:tcW w:w="1016"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Variable</w:t>
            </w:r>
          </w:p>
        </w:tc>
        <w:tc>
          <w:tcPr>
            <w:tcW w:w="6184" w:type="dxa"/>
            <w:gridSpan w:val="4"/>
            <w:tcBorders>
              <w:top w:val="single" w:color="505050" w:sz="4" w:space="0"/>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Dependent Variable = SP</w:t>
            </w:r>
          </w:p>
        </w:tc>
      </w:tr>
      <w:tr>
        <w:tblPrEx>
          <w:tblLayout w:type="fixed"/>
          <w:tblCellMar>
            <w:top w:w="0" w:type="dxa"/>
            <w:left w:w="108" w:type="dxa"/>
            <w:bottom w:w="0" w:type="dxa"/>
            <w:right w:w="108" w:type="dxa"/>
          </w:tblCellMar>
        </w:tblPrEx>
        <w:trPr>
          <w:trHeight w:val="300" w:hRule="atLeast"/>
          <w:jc w:val="center"/>
        </w:trPr>
        <w:tc>
          <w:tcPr>
            <w:tcW w:w="1016"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Philippines</w:t>
            </w:r>
          </w:p>
        </w:tc>
        <w:tc>
          <w:tcPr>
            <w:tcW w:w="149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Malaysia</w:t>
            </w:r>
          </w:p>
        </w:tc>
        <w:tc>
          <w:tcPr>
            <w:tcW w:w="179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Indonesia</w:t>
            </w:r>
          </w:p>
        </w:tc>
        <w:tc>
          <w:tcPr>
            <w:tcW w:w="149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Thailand</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∆SPt-1</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-0.0902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-0.2018</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-0.2997</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(-0.8994)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(-1.8338)***</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(-2.7755)*</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∆SPt-2</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0.0576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-0.1941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(0.6132)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(-2.1708)**</w:t>
            </w:r>
          </w:p>
        </w:tc>
      </w:tr>
      <w:tr>
        <w:tblPrEx>
          <w:tblLayout w:type="fixed"/>
          <w:tblCellMar>
            <w:top w:w="0" w:type="dxa"/>
            <w:left w:w="108" w:type="dxa"/>
            <w:bottom w:w="0" w:type="dxa"/>
            <w:right w:w="108" w:type="dxa"/>
          </w:tblCellMar>
        </w:tblPrEx>
        <w:trPr>
          <w:trHeight w:val="315"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∆SPt-3</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0.194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15"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(2.0419)**</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-210.9369</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-242.0652</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-0.3614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-86.6304</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(-4.9936)*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(-4.0786)*</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(-4.1896)*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(-6.8881)*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∆ExRt-1</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73.9366</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(0.7863)</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∆ExRt-2</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-14.9266</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(-0.1613)</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∆ExRt-3</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-54.4877</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(-0.6106)</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∆ExRt-4</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-104.9151</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(1.898)***</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-102.1008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0.7396</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19.1263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15.9805</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(1.7162)***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(0.1762)</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(0.6023)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(3.0061)**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-13.0216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-54.7778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(-0.136)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(-1.5084)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42.3244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-83.6278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(0.4637)</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(-2.2902)*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-73.2492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116.3183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(-1.3056)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(3.3794)*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-56.1215</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(-1.6123)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∆CuA</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36.8899</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-4.7725</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-5.6435</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-4.6962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(0.8188)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(-1.6409)</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(-0.9084)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(-1.6195)</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∆InR</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-35.8612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-33.3957</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9.9298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31.6267</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(-0.4843)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(-1.4274)</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(0.4386)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(0.5118)</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∆InRt-1</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-40.3742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(-0.4197)</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∆InRt-2</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-94.7006</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(-1.4571)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0.0014</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0.0001</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0.00004</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(0.9708)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(0.7562)</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(0.0425)</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(0.0887)</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∆GDPt-1</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-0.0035</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0.0044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(-2.1806)**</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(-1.7168)***</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(1.8853)***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(-0.8856)</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∆GDPt-2</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-0.00009</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-0.0038</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(-0.5389)</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(-3.0091)*</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(0.2289)</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∆GDPt-3</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-0.0001</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(-1.1593)</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(0.0172)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∆GDPt-4</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-0.0009</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(2.1561)**</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(-0.8004)</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∆GDPt-5</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0.0009</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(0.8071)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∆GDPt-6</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(-0.9233)</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∆GDPt-7</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0.0014</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(1.3446)</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∆GDPt-8</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0.0005</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(0.4872)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∆GDPt-9</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(-2.0751)**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ECTt-1</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-0.2324</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-0.1854</w:t>
            </w:r>
          </w:p>
        </w:tc>
        <w:tc>
          <w:tcPr>
            <w:tcW w:w="179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-0.1412</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-0.1168</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single" w:color="auto"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408"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(-3.6343)*</w:t>
            </w:r>
          </w:p>
        </w:tc>
        <w:tc>
          <w:tcPr>
            <w:tcW w:w="1493"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(-2.9064)*</w:t>
            </w:r>
          </w:p>
        </w:tc>
        <w:tc>
          <w:tcPr>
            <w:tcW w:w="1790"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(-2.5942)*</w:t>
            </w:r>
          </w:p>
        </w:tc>
        <w:tc>
          <w:tcPr>
            <w:tcW w:w="1493" w:type="dxa"/>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(-1.6708)***</w:t>
            </w:r>
          </w:p>
        </w:tc>
      </w:tr>
      <w:tr>
        <w:tblPrEx>
          <w:tblLayout w:type="fixed"/>
          <w:tblCellMar>
            <w:top w:w="0" w:type="dxa"/>
            <w:left w:w="108" w:type="dxa"/>
            <w:bottom w:w="0" w:type="dxa"/>
            <w:right w:w="108" w:type="dxa"/>
          </w:tblCellMar>
        </w:tblPrEx>
        <w:trPr>
          <w:trHeight w:val="300" w:hRule="atLeast"/>
          <w:jc w:val="center"/>
        </w:trPr>
        <w:tc>
          <w:tcPr>
            <w:tcW w:w="3917" w:type="dxa"/>
            <w:gridSpan w:val="3"/>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Estimation 2: Long Run Coeficcients</w:t>
            </w:r>
          </w:p>
        </w:tc>
        <w:tc>
          <w:tcPr>
            <w:tcW w:w="1790"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w:t>
            </w:r>
          </w:p>
        </w:tc>
        <w:tc>
          <w:tcPr>
            <w:tcW w:w="1493"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single" w:color="505050" w:sz="4"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40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Philippines</w:t>
            </w:r>
          </w:p>
        </w:tc>
        <w:tc>
          <w:tcPr>
            <w:tcW w:w="149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Malaysia</w:t>
            </w:r>
          </w:p>
        </w:tc>
        <w:tc>
          <w:tcPr>
            <w:tcW w:w="1790"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Indonesia</w:t>
            </w:r>
          </w:p>
        </w:tc>
        <w:tc>
          <w:tcPr>
            <w:tcW w:w="1493"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Thailand</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w:t>
            </w:r>
          </w:p>
        </w:tc>
        <w:tc>
          <w:tcPr>
            <w:tcW w:w="1408" w:type="dxa"/>
            <w:tcBorders>
              <w:top w:val="single" w:color="auto" w:sz="4" w:space="0"/>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2706.4962</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1955.7479</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3638.6282</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2089.0586</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[0.3427]</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[0.0007]*</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[0.094]***</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[0.1935]</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ExR</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223.2993</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-408.0369</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-0.4628</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-108.7932</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1493"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[0.0195]*</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[0.0623]***</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Inf</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76.4536</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3.9908</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172.5932</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136.7661</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[0.5237]</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[0.8582]</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[0.7909]</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[0.1874]</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CuA</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158.7245</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-25.7486</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-39.9732</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16.563</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[0.3829]</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[0.0913]***</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[0.3657]</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[0.4376]</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InR</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-154.2986</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-180.1752</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70.3327</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-104.1137</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[0.6348]</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[0.2073]</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[0.6537]</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[0.4288]</w:t>
            </w:r>
          </w:p>
        </w:tc>
      </w:tr>
      <w:tr>
        <w:tblPrEx>
          <w:tblLayout w:type="fixed"/>
          <w:tblCellMar>
            <w:top w:w="0" w:type="dxa"/>
            <w:left w:w="108" w:type="dxa"/>
            <w:bottom w:w="0" w:type="dxa"/>
            <w:right w:w="108" w:type="dxa"/>
          </w:tblCellMar>
        </w:tblPrEx>
        <w:trPr>
          <w:trHeight w:val="300" w:hRule="atLeast"/>
          <w:jc w:val="center"/>
        </w:trPr>
        <w:tc>
          <w:tcPr>
            <w:tcW w:w="10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GDP</w:t>
            </w:r>
          </w:p>
        </w:tc>
        <w:tc>
          <w:tcPr>
            <w:tcW w:w="1408"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0.0081</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0.0074</w:t>
            </w:r>
          </w:p>
        </w:tc>
        <w:tc>
          <w:tcPr>
            <w:tcW w:w="1790"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0.0064</w:t>
            </w:r>
          </w:p>
        </w:tc>
        <w:tc>
          <w:tcPr>
            <w:tcW w:w="149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0.0008</w:t>
            </w:r>
          </w:p>
        </w:tc>
      </w:tr>
      <w:tr>
        <w:tblPrEx>
          <w:tblLayout w:type="fixed"/>
          <w:tblCellMar>
            <w:top w:w="0" w:type="dxa"/>
            <w:left w:w="108" w:type="dxa"/>
            <w:bottom w:w="0" w:type="dxa"/>
            <w:right w:w="108" w:type="dxa"/>
          </w:tblCellMar>
        </w:tblPrEx>
        <w:trPr>
          <w:trHeight w:val="315" w:hRule="atLeast"/>
          <w:jc w:val="center"/>
        </w:trPr>
        <w:tc>
          <w:tcPr>
            <w:tcW w:w="1016" w:type="dxa"/>
            <w:tcBorders>
              <w:top w:val="nil"/>
              <w:left w:val="nil"/>
              <w:bottom w:val="double" w:color="505050" w:sz="6" w:space="0"/>
              <w:right w:val="nil"/>
            </w:tcBorders>
            <w:shd w:val="clear" w:color="auto" w:fill="auto"/>
            <w:vAlign w:val="bottom"/>
          </w:tcPr>
          <w:p>
            <w:pPr>
              <w:spacing w:after="0" w:line="240" w:lineRule="auto"/>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 </w:t>
            </w:r>
          </w:p>
        </w:tc>
        <w:tc>
          <w:tcPr>
            <w:tcW w:w="1408" w:type="dxa"/>
            <w:tcBorders>
              <w:top w:val="nil"/>
              <w:left w:val="nil"/>
              <w:bottom w:val="double" w:color="505050" w:sz="6"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1493"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[0.0003]*</w:t>
            </w:r>
          </w:p>
        </w:tc>
        <w:tc>
          <w:tcPr>
            <w:tcW w:w="1790"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[0.0002]*</w:t>
            </w:r>
          </w:p>
        </w:tc>
        <w:tc>
          <w:tcPr>
            <w:tcW w:w="1493"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[0.0063]*</w:t>
            </w:r>
          </w:p>
        </w:tc>
      </w:tr>
    </w:tbl>
    <w:p>
      <w:pPr>
        <w:spacing w:after="0" w:line="240" w:lineRule="auto"/>
        <w:ind w:left="1440" w:hanging="447"/>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Note: *, **, and *** indicates significant at 1%, 5%, and 10% level. </w:t>
      </w:r>
    </w:p>
    <w:p>
      <w:pPr>
        <w:spacing w:after="0" w:line="240" w:lineRule="auto"/>
        <w:ind w:left="1440" w:hanging="447"/>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Round parenthesis show t-statistics, square parenthesis indicates prob. Value.</w:t>
      </w:r>
    </w:p>
    <w:p>
      <w:pPr>
        <w:spacing w:after="0" w:line="240" w:lineRule="auto"/>
        <w:ind w:left="1440" w:hanging="447"/>
        <w:jc w:val="both"/>
        <w:rPr>
          <w:rFonts w:ascii="Times New Roman" w:hAnsi="Times New Roman" w:cs="Times New Roman"/>
          <w:color w:val="000000" w:themeColor="text1"/>
          <w:szCs w:val="22"/>
        </w:rPr>
      </w:pPr>
    </w:p>
    <w:p>
      <w:pPr>
        <w:jc w:val="both"/>
        <w:rPr>
          <w:rFonts w:ascii="Times New Roman" w:hAnsi="Times New Roman" w:cs="Times New Roman"/>
          <w:i/>
          <w:color w:val="000000" w:themeColor="text1"/>
          <w:szCs w:val="22"/>
        </w:rPr>
      </w:pPr>
      <w:r>
        <w:rPr>
          <w:rFonts w:ascii="Times New Roman" w:hAnsi="Times New Roman" w:cs="Times New Roman"/>
          <w:i/>
          <w:color w:val="000000" w:themeColor="text1"/>
          <w:szCs w:val="22"/>
        </w:rPr>
        <w:t>4.3 Stability and Diagnostic Check</w:t>
      </w:r>
    </w:p>
    <w:p>
      <w:pPr>
        <w:spacing w:after="0"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Diagnostic tests for serial correlation, heteroskedasticity, and normality tests can be seen in Table 5 where we conclude there is no time series problem in our estimation. Ramsey Reset test also applied with the null hypothesis the model has been specified correctly. For four countries, we accept the null hypothesis which concludes that there is no misspecified problem in our equation.</w:t>
      </w:r>
    </w:p>
    <w:tbl>
      <w:tblPr>
        <w:tblStyle w:val="7"/>
        <w:tblW w:w="7307" w:type="dxa"/>
        <w:jc w:val="center"/>
        <w:tblInd w:w="91" w:type="dxa"/>
        <w:tblLayout w:type="fixed"/>
        <w:tblCellMar>
          <w:top w:w="0" w:type="dxa"/>
          <w:left w:w="108" w:type="dxa"/>
          <w:bottom w:w="0" w:type="dxa"/>
          <w:right w:w="108" w:type="dxa"/>
        </w:tblCellMar>
      </w:tblPr>
      <w:tblGrid>
        <w:gridCol w:w="1101"/>
        <w:gridCol w:w="1533"/>
        <w:gridCol w:w="1533"/>
        <w:gridCol w:w="1424"/>
        <w:gridCol w:w="1716"/>
      </w:tblGrid>
      <w:tr>
        <w:tblPrEx>
          <w:tblLayout w:type="fixed"/>
          <w:tblCellMar>
            <w:top w:w="0" w:type="dxa"/>
            <w:left w:w="108" w:type="dxa"/>
            <w:bottom w:w="0" w:type="dxa"/>
            <w:right w:w="108" w:type="dxa"/>
          </w:tblCellMar>
        </w:tblPrEx>
        <w:trPr>
          <w:trHeight w:val="315" w:hRule="atLeast"/>
          <w:jc w:val="center"/>
        </w:trPr>
        <w:tc>
          <w:tcPr>
            <w:tcW w:w="7307" w:type="dxa"/>
            <w:gridSpan w:val="5"/>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5. Stability Diagnostic Check for ASEAN-4</w:t>
            </w:r>
          </w:p>
        </w:tc>
      </w:tr>
      <w:tr>
        <w:tblPrEx>
          <w:tblLayout w:type="fixed"/>
          <w:tblCellMar>
            <w:top w:w="0" w:type="dxa"/>
            <w:left w:w="108" w:type="dxa"/>
            <w:bottom w:w="0" w:type="dxa"/>
            <w:right w:w="108" w:type="dxa"/>
          </w:tblCellMar>
        </w:tblPrEx>
        <w:trPr>
          <w:trHeight w:val="315" w:hRule="atLeast"/>
          <w:jc w:val="center"/>
        </w:trPr>
        <w:tc>
          <w:tcPr>
            <w:tcW w:w="1101" w:type="dxa"/>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Countries</w:t>
            </w:r>
          </w:p>
        </w:tc>
        <w:tc>
          <w:tcPr>
            <w:tcW w:w="1533" w:type="dxa"/>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BG</w:t>
            </w:r>
            <w:r>
              <w:rPr>
                <w:rFonts w:ascii="Times New Roman" w:hAnsi="Times New Roman" w:eastAsia="Times New Roman" w:cs="Times New Roman"/>
                <w:b/>
                <w:bCs/>
                <w:color w:val="000000"/>
                <w:szCs w:val="22"/>
                <w:vertAlign w:val="subscript"/>
                <w:lang w:eastAsia="id-ID"/>
              </w:rPr>
              <w:t>sc</w:t>
            </w:r>
          </w:p>
        </w:tc>
        <w:tc>
          <w:tcPr>
            <w:tcW w:w="1533" w:type="dxa"/>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BPG</w:t>
            </w:r>
            <w:r>
              <w:rPr>
                <w:rFonts w:ascii="Times New Roman" w:hAnsi="Times New Roman" w:eastAsia="Times New Roman" w:cs="Times New Roman"/>
                <w:b/>
                <w:bCs/>
                <w:color w:val="000000"/>
                <w:szCs w:val="22"/>
                <w:vertAlign w:val="subscript"/>
                <w:lang w:eastAsia="id-ID"/>
              </w:rPr>
              <w:t>ht</w:t>
            </w:r>
          </w:p>
        </w:tc>
        <w:tc>
          <w:tcPr>
            <w:tcW w:w="1424" w:type="dxa"/>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JB</w:t>
            </w:r>
            <w:r>
              <w:rPr>
                <w:rFonts w:ascii="Times New Roman" w:hAnsi="Times New Roman" w:eastAsia="Times New Roman" w:cs="Times New Roman"/>
                <w:b/>
                <w:bCs/>
                <w:color w:val="000000"/>
                <w:szCs w:val="22"/>
                <w:vertAlign w:val="subscript"/>
                <w:lang w:eastAsia="id-ID"/>
              </w:rPr>
              <w:t>nt</w:t>
            </w:r>
          </w:p>
        </w:tc>
        <w:tc>
          <w:tcPr>
            <w:tcW w:w="1716" w:type="dxa"/>
            <w:tcBorders>
              <w:top w:val="double" w:color="505050" w:sz="6" w:space="0"/>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Ramsey Reset Test</w:t>
            </w:r>
          </w:p>
        </w:tc>
      </w:tr>
      <w:tr>
        <w:tblPrEx>
          <w:tblLayout w:type="fixed"/>
          <w:tblCellMar>
            <w:top w:w="0" w:type="dxa"/>
            <w:left w:w="108" w:type="dxa"/>
            <w:bottom w:w="0" w:type="dxa"/>
            <w:right w:w="108" w:type="dxa"/>
          </w:tblCellMar>
        </w:tblPrEx>
        <w:trPr>
          <w:trHeight w:val="300" w:hRule="atLeast"/>
          <w:jc w:val="center"/>
        </w:trPr>
        <w:tc>
          <w:tcPr>
            <w:tcW w:w="1101"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Philippines</w:t>
            </w:r>
          </w:p>
        </w:tc>
        <w:tc>
          <w:tcPr>
            <w:tcW w:w="153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7.6934 (0.174)</w:t>
            </w:r>
          </w:p>
        </w:tc>
        <w:tc>
          <w:tcPr>
            <w:tcW w:w="1533"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15.6381 (0.5496)</w:t>
            </w:r>
          </w:p>
        </w:tc>
        <w:tc>
          <w:tcPr>
            <w:tcW w:w="1424"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2.9969 (0.2235)</w:t>
            </w:r>
          </w:p>
        </w:tc>
        <w:tc>
          <w:tcPr>
            <w:tcW w:w="1716" w:type="dxa"/>
            <w:tcBorders>
              <w:top w:val="single" w:color="505050" w:sz="4" w:space="0"/>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0.0977 (0.7554)</w:t>
            </w:r>
          </w:p>
        </w:tc>
      </w:tr>
      <w:tr>
        <w:tblPrEx>
          <w:tblLayout w:type="fixed"/>
          <w:tblCellMar>
            <w:top w:w="0" w:type="dxa"/>
            <w:left w:w="108" w:type="dxa"/>
            <w:bottom w:w="0" w:type="dxa"/>
            <w:right w:w="108" w:type="dxa"/>
          </w:tblCellMar>
        </w:tblPrEx>
        <w:trPr>
          <w:trHeight w:val="300" w:hRule="atLeast"/>
          <w:jc w:val="center"/>
        </w:trPr>
        <w:tc>
          <w:tcPr>
            <w:tcW w:w="1101"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24"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7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101"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Malaysia</w:t>
            </w: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6.0288 (0.644)</w:t>
            </w: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23.0449 (0.0595)</w:t>
            </w:r>
          </w:p>
        </w:tc>
        <w:tc>
          <w:tcPr>
            <w:tcW w:w="1424"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3.8782 (0.1438)</w:t>
            </w:r>
          </w:p>
        </w:tc>
        <w:tc>
          <w:tcPr>
            <w:tcW w:w="17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0.8992 (0.3456)</w:t>
            </w:r>
          </w:p>
        </w:tc>
      </w:tr>
      <w:tr>
        <w:tblPrEx>
          <w:tblLayout w:type="fixed"/>
          <w:tblCellMar>
            <w:top w:w="0" w:type="dxa"/>
            <w:left w:w="108" w:type="dxa"/>
            <w:bottom w:w="0" w:type="dxa"/>
            <w:right w:w="108" w:type="dxa"/>
          </w:tblCellMar>
        </w:tblPrEx>
        <w:trPr>
          <w:trHeight w:val="300" w:hRule="atLeast"/>
          <w:jc w:val="center"/>
        </w:trPr>
        <w:tc>
          <w:tcPr>
            <w:tcW w:w="1101"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24"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7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00" w:hRule="atLeast"/>
          <w:jc w:val="center"/>
        </w:trPr>
        <w:tc>
          <w:tcPr>
            <w:tcW w:w="1101"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Indonesia</w:t>
            </w: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5.6307 (0.4658)</w:t>
            </w: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16.9958 (0.4547)</w:t>
            </w:r>
          </w:p>
        </w:tc>
        <w:tc>
          <w:tcPr>
            <w:tcW w:w="1424"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1.8559 (0.3954)</w:t>
            </w:r>
          </w:p>
        </w:tc>
        <w:tc>
          <w:tcPr>
            <w:tcW w:w="17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2.9277 (0.0591)</w:t>
            </w:r>
          </w:p>
        </w:tc>
      </w:tr>
      <w:tr>
        <w:tblPrEx>
          <w:tblLayout w:type="fixed"/>
          <w:tblCellMar>
            <w:top w:w="0" w:type="dxa"/>
            <w:left w:w="108" w:type="dxa"/>
            <w:bottom w:w="0" w:type="dxa"/>
            <w:right w:w="108" w:type="dxa"/>
          </w:tblCellMar>
        </w:tblPrEx>
        <w:trPr>
          <w:trHeight w:val="300" w:hRule="atLeast"/>
          <w:jc w:val="center"/>
        </w:trPr>
        <w:tc>
          <w:tcPr>
            <w:tcW w:w="1101"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533"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424"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1716"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15" w:hRule="atLeast"/>
          <w:jc w:val="center"/>
        </w:trPr>
        <w:tc>
          <w:tcPr>
            <w:tcW w:w="1101"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Thailand</w:t>
            </w:r>
          </w:p>
        </w:tc>
        <w:tc>
          <w:tcPr>
            <w:tcW w:w="1533"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14.3844 (0.1562)</w:t>
            </w:r>
          </w:p>
        </w:tc>
        <w:tc>
          <w:tcPr>
            <w:tcW w:w="1533"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31.8092 (0.1042)</w:t>
            </w:r>
          </w:p>
        </w:tc>
        <w:tc>
          <w:tcPr>
            <w:tcW w:w="1424"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1.0848 (0.5814)</w:t>
            </w:r>
          </w:p>
        </w:tc>
        <w:tc>
          <w:tcPr>
            <w:tcW w:w="1716" w:type="dxa"/>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0.1293 (0.7202)</w:t>
            </w:r>
          </w:p>
        </w:tc>
      </w:tr>
    </w:tbl>
    <w:p>
      <w:pPr>
        <w:spacing w:after="0" w:line="240" w:lineRule="auto"/>
        <w:ind w:left="851"/>
        <w:rPr>
          <w:rFonts w:ascii="Times New Roman" w:hAnsi="Times New Roman" w:cs="Times New Roman"/>
          <w:color w:val="000000" w:themeColor="text1"/>
          <w:szCs w:val="22"/>
        </w:rPr>
      </w:pPr>
      <w:r>
        <w:rPr>
          <w:rFonts w:ascii="Times New Roman" w:hAnsi="Times New Roman" w:cs="Times New Roman"/>
          <w:color w:val="000000" w:themeColor="text1"/>
          <w:szCs w:val="22"/>
        </w:rPr>
        <w:t>Note: BG</w:t>
      </w:r>
      <w:r>
        <w:rPr>
          <w:rFonts w:ascii="Times New Roman" w:hAnsi="Times New Roman" w:cs="Times New Roman"/>
          <w:color w:val="000000" w:themeColor="text1"/>
          <w:szCs w:val="22"/>
          <w:vertAlign w:val="subscript"/>
        </w:rPr>
        <w:t>sc</w:t>
      </w:r>
      <w:r>
        <w:rPr>
          <w:rFonts w:ascii="Times New Roman" w:hAnsi="Times New Roman" w:cs="Times New Roman"/>
          <w:color w:val="000000" w:themeColor="text1"/>
          <w:szCs w:val="22"/>
        </w:rPr>
        <w:t>, BPG</w:t>
      </w:r>
      <w:r>
        <w:rPr>
          <w:rFonts w:ascii="Times New Roman" w:hAnsi="Times New Roman" w:cs="Times New Roman"/>
          <w:color w:val="000000" w:themeColor="text1"/>
          <w:szCs w:val="22"/>
          <w:vertAlign w:val="subscript"/>
        </w:rPr>
        <w:t>ht</w:t>
      </w:r>
      <w:r>
        <w:rPr>
          <w:rFonts w:ascii="Times New Roman" w:hAnsi="Times New Roman" w:cs="Times New Roman"/>
          <w:color w:val="000000" w:themeColor="text1"/>
          <w:szCs w:val="22"/>
        </w:rPr>
        <w:t>, and JB</w:t>
      </w:r>
      <w:r>
        <w:rPr>
          <w:rFonts w:ascii="Times New Roman" w:hAnsi="Times New Roman" w:cs="Times New Roman"/>
          <w:color w:val="000000" w:themeColor="text1"/>
          <w:szCs w:val="22"/>
          <w:vertAlign w:val="subscript"/>
        </w:rPr>
        <w:t>nt</w:t>
      </w:r>
      <w:r>
        <w:rPr>
          <w:rFonts w:ascii="Times New Roman" w:hAnsi="Times New Roman" w:cs="Times New Roman"/>
          <w:color w:val="000000" w:themeColor="text1"/>
          <w:szCs w:val="22"/>
        </w:rPr>
        <w:t>, is a Breusch-Pagan serial correlation, Breusch-Pagan-Godfrey heteroskedasticity, and Jarque-Bera normality test. Round parenthesis show prob. Value.</w:t>
      </w:r>
    </w:p>
    <w:p>
      <w:pPr>
        <w:spacing w:after="0"/>
        <w:jc w:val="both"/>
        <w:rPr>
          <w:rFonts w:ascii="Times New Roman" w:hAnsi="Times New Roman" w:cs="Times New Roman"/>
          <w:color w:val="000000" w:themeColor="text1"/>
          <w:szCs w:val="22"/>
        </w:rPr>
      </w:pPr>
    </w:p>
    <w:p>
      <w:pPr>
        <w:spacing w:after="0" w:line="360" w:lineRule="auto"/>
        <w:ind w:firstLine="72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The interesting result from the long-term findings from the ASEAN-4 countries we found a similar failure pattern on the inflation, interest rate, and current account on average in three of the four ASEAN-4. So to corroborate our previous results, in this paper we will estimate the influence of each variable of inflation, current account, and interest rate in "one for one" sceme against stock price by bivariate analysis. For efficiency, the unit root test and cointegration results are not shown in this paper. From the cointegration test of Engle-Granger and Phillips-Ouliaris concluded that there is no cointegration in three ASEAN-4 countries namely Philippines, Indonesia, and Thailand. While for Malaysia because it is concluded that there is cointegration so we will use ECM compared to autoregressive bivariate (BVAR) in Phillippines, Indonesia, and Thailand. We can write BVAR equations for each country as follows:</w:t>
      </w:r>
    </w:p>
    <w:p>
      <w:pPr>
        <w:tabs>
          <w:tab w:val="left" w:pos="1843"/>
        </w:tabs>
        <w:spacing w:line="360" w:lineRule="auto"/>
        <w:jc w:val="center"/>
        <w:rPr>
          <w:rFonts w:ascii="Times New Roman" w:hAnsi="Times New Roman" w:eastAsia="Microsoft JhengHei UI Light" w:cs="Times New Roman"/>
          <w:szCs w:val="22"/>
        </w:rPr>
      </w:pPr>
      <w:r>
        <w:rPr>
          <w:rFonts w:ascii="Times New Roman" w:hAnsi="Times New Roman" w:eastAsia="Microsoft JhengHei UI Light" w:cs="Times New Roman"/>
          <w:i/>
          <w:szCs w:val="22"/>
        </w:rPr>
        <w:t>x</w:t>
      </w:r>
      <w:r>
        <w:rPr>
          <w:rFonts w:ascii="Times New Roman" w:hAnsi="Times New Roman" w:eastAsia="Microsoft JhengHei UI Light" w:cs="Times New Roman"/>
          <w:i/>
          <w:szCs w:val="22"/>
          <w:vertAlign w:val="subscript"/>
        </w:rPr>
        <w:t>t</w:t>
      </w:r>
      <w:r>
        <w:rPr>
          <w:rFonts w:ascii="Times New Roman" w:hAnsi="Times New Roman" w:eastAsia="Microsoft JhengHei UI Light" w:cs="Times New Roman"/>
          <w:i/>
          <w:szCs w:val="22"/>
        </w:rPr>
        <w:t xml:space="preserve"> = Ѕ</w:t>
      </w:r>
      <w:r>
        <w:rPr>
          <w:rFonts w:ascii="Times New Roman" w:hAnsi="Times New Roman" w:eastAsia="Microsoft JhengHei UI Light" w:cs="Times New Roman"/>
          <w:i/>
          <w:szCs w:val="22"/>
          <w:vertAlign w:val="subscript"/>
        </w:rPr>
        <w:t xml:space="preserve">0 </w:t>
      </w:r>
      <w:r>
        <w:rPr>
          <w:rFonts w:ascii="Times New Roman" w:hAnsi="Times New Roman" w:eastAsia="Microsoft JhengHei UI Light" w:cs="Times New Roman"/>
          <w:i/>
          <w:szCs w:val="22"/>
        </w:rPr>
        <w:t>+</w:t>
      </w:r>
      <m:oMath>
        <m:nary>
          <m:naryPr>
            <m:chr m:val="∑"/>
            <m:limLoc m:val="undOvr"/>
            <m:ctrlPr>
              <w:rPr>
                <w:rFonts w:ascii="Cambria Math" w:hAnsi="Cambria Math" w:eastAsia="Microsoft JhengHei UI Light" w:cs="Times New Roman"/>
                <w:i/>
                <w:szCs w:val="22"/>
              </w:rPr>
            </m:ctrlPr>
          </m:naryPr>
          <m:sub>
            <m:r>
              <w:rPr>
                <w:rFonts w:ascii="Cambria Math" w:hAnsi="Cambria Math" w:eastAsia="Microsoft JhengHei UI Light" w:cs="Times New Roman"/>
                <w:szCs w:val="22"/>
              </w:rPr>
              <m:t>j=1</m:t>
            </m:r>
            <m:ctrlPr>
              <w:rPr>
                <w:rFonts w:ascii="Cambria Math" w:hAnsi="Cambria Math" w:eastAsia="Microsoft JhengHei UI Light" w:cs="Times New Roman"/>
                <w:i/>
                <w:szCs w:val="22"/>
              </w:rPr>
            </m:ctrlPr>
          </m:sub>
          <m:sup>
            <m:r>
              <w:rPr>
                <w:rFonts w:ascii="Cambria Math" w:hAnsi="Cambria Math" w:eastAsia="Microsoft JhengHei UI Light" w:cs="Times New Roman"/>
                <w:szCs w:val="22"/>
              </w:rPr>
              <m:t>p</m:t>
            </m:r>
            <m:ctrlPr>
              <w:rPr>
                <w:rFonts w:ascii="Cambria Math" w:hAnsi="Cambria Math" w:eastAsia="Microsoft JhengHei UI Light" w:cs="Times New Roman"/>
                <w:i/>
                <w:szCs w:val="22"/>
              </w:rPr>
            </m:ctrlPr>
          </m:sup>
          <m:e>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g</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j</m:t>
                </m:r>
                <m:ctrlPr>
                  <w:rPr>
                    <w:rFonts w:ascii="Cambria Math" w:hAnsi="Cambria Math" w:eastAsia="Microsoft JhengHei UI Light" w:cs="Times New Roman"/>
                    <w:i/>
                    <w:szCs w:val="22"/>
                  </w:rPr>
                </m:ctrlPr>
              </m:sub>
            </m:sSub>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x</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t-j</m:t>
                </m:r>
                <m:ctrlPr>
                  <w:rPr>
                    <w:rFonts w:ascii="Cambria Math" w:hAnsi="Cambria Math" w:eastAsia="Microsoft JhengHei UI Light" w:cs="Times New Roman"/>
                    <w:i/>
                    <w:szCs w:val="22"/>
                  </w:rPr>
                </m:ctrlPr>
              </m:sub>
            </m:sSub>
            <m:ctrlPr>
              <w:rPr>
                <w:rFonts w:ascii="Cambria Math" w:hAnsi="Cambria Math" w:eastAsia="Microsoft JhengHei UI Light" w:cs="Times New Roman"/>
                <w:i/>
                <w:szCs w:val="22"/>
              </w:rPr>
            </m:ctrlPr>
          </m:e>
        </m:nary>
      </m:oMath>
      <w:r>
        <w:rPr>
          <w:rFonts w:ascii="Times New Roman" w:hAnsi="Times New Roman" w:eastAsia="Microsoft JhengHei UI Light" w:cs="Times New Roman"/>
          <w:i/>
          <w:szCs w:val="22"/>
        </w:rPr>
        <w:t xml:space="preserve">+ </w:t>
      </w:r>
      <m:oMath>
        <m:nary>
          <m:naryPr>
            <m:chr m:val="∑"/>
            <m:limLoc m:val="undOvr"/>
            <m:ctrlPr>
              <w:rPr>
                <w:rFonts w:ascii="Cambria Math" w:hAnsi="Cambria Math" w:eastAsia="Microsoft JhengHei UI Light" w:cs="Times New Roman"/>
                <w:i/>
                <w:szCs w:val="22"/>
              </w:rPr>
            </m:ctrlPr>
          </m:naryPr>
          <m:sub>
            <m:r>
              <w:rPr>
                <w:rFonts w:ascii="Cambria Math" w:hAnsi="Cambria Math" w:eastAsia="Microsoft JhengHei UI Light" w:cs="Times New Roman"/>
                <w:szCs w:val="22"/>
              </w:rPr>
              <m:t>j=1</m:t>
            </m:r>
            <m:ctrlPr>
              <w:rPr>
                <w:rFonts w:ascii="Cambria Math" w:hAnsi="Cambria Math" w:eastAsia="Microsoft JhengHei UI Light" w:cs="Times New Roman"/>
                <w:i/>
                <w:szCs w:val="22"/>
              </w:rPr>
            </m:ctrlPr>
          </m:sub>
          <m:sup>
            <m:r>
              <w:rPr>
                <w:rFonts w:ascii="Cambria Math" w:hAnsi="Cambria Math" w:eastAsia="Microsoft JhengHei UI Light" w:cs="Times New Roman"/>
                <w:szCs w:val="22"/>
              </w:rPr>
              <m:t>p</m:t>
            </m:r>
            <m:ctrlPr>
              <w:rPr>
                <w:rFonts w:ascii="Cambria Math" w:hAnsi="Cambria Math" w:eastAsia="Microsoft JhengHei UI Light" w:cs="Times New Roman"/>
                <w:i/>
                <w:szCs w:val="22"/>
              </w:rPr>
            </m:ctrlPr>
          </m:sup>
          <m:e>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h</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j</m:t>
                </m:r>
                <m:ctrlPr>
                  <w:rPr>
                    <w:rFonts w:ascii="Cambria Math" w:hAnsi="Cambria Math" w:eastAsia="Microsoft JhengHei UI Light" w:cs="Times New Roman"/>
                    <w:i/>
                    <w:szCs w:val="22"/>
                  </w:rPr>
                </m:ctrlPr>
              </m:sub>
            </m:sSub>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y</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t-j</m:t>
                </m:r>
                <m:ctrlPr>
                  <w:rPr>
                    <w:rFonts w:ascii="Cambria Math" w:hAnsi="Cambria Math" w:eastAsia="Microsoft JhengHei UI Light" w:cs="Times New Roman"/>
                    <w:i/>
                    <w:szCs w:val="22"/>
                  </w:rPr>
                </m:ctrlPr>
              </m:sub>
            </m:sSub>
            <m:ctrlPr>
              <w:rPr>
                <w:rFonts w:ascii="Cambria Math" w:hAnsi="Cambria Math" w:eastAsia="Microsoft JhengHei UI Light" w:cs="Times New Roman"/>
                <w:i/>
                <w:szCs w:val="22"/>
              </w:rPr>
            </m:ctrlPr>
          </m:e>
        </m:nary>
      </m:oMath>
      <w:r>
        <w:rPr>
          <w:rFonts w:ascii="Times New Roman" w:hAnsi="Times New Roman" w:eastAsia="Microsoft JhengHei UI Light" w:cs="Times New Roman"/>
          <w:i/>
          <w:szCs w:val="22"/>
        </w:rPr>
        <w:t>+ u</w:t>
      </w:r>
      <w:r>
        <w:rPr>
          <w:rFonts w:ascii="Times New Roman" w:hAnsi="Times New Roman" w:eastAsia="Microsoft JhengHei UI Light" w:cs="Times New Roman"/>
          <w:i/>
          <w:szCs w:val="22"/>
          <w:vertAlign w:val="subscript"/>
        </w:rPr>
        <w:t>xt</w:t>
      </w:r>
      <w:r>
        <w:rPr>
          <w:rFonts w:ascii="Times New Roman" w:hAnsi="Times New Roman" w:eastAsia="Microsoft JhengHei UI Light" w:cs="Times New Roman"/>
          <w:szCs w:val="22"/>
        </w:rPr>
        <w:t>......... (6)</w:t>
      </w:r>
    </w:p>
    <w:p>
      <w:pPr>
        <w:tabs>
          <w:tab w:val="left" w:pos="1701"/>
        </w:tabs>
        <w:spacing w:line="360" w:lineRule="auto"/>
        <w:jc w:val="center"/>
        <w:rPr>
          <w:rFonts w:ascii="Times New Roman" w:hAnsi="Times New Roman" w:eastAsia="Microsoft JhengHei UI Light" w:cs="Times New Roman"/>
          <w:szCs w:val="22"/>
        </w:rPr>
      </w:pPr>
      <w:r>
        <w:rPr>
          <w:rFonts w:ascii="Times New Roman" w:hAnsi="Times New Roman" w:eastAsia="Microsoft JhengHei UI Light" w:cs="Times New Roman"/>
          <w:i/>
          <w:szCs w:val="22"/>
        </w:rPr>
        <w:t>y</w:t>
      </w:r>
      <w:r>
        <w:rPr>
          <w:rFonts w:ascii="Times New Roman" w:hAnsi="Times New Roman" w:eastAsia="Microsoft JhengHei UI Light" w:cs="Times New Roman"/>
          <w:i/>
          <w:szCs w:val="22"/>
          <w:vertAlign w:val="subscript"/>
        </w:rPr>
        <w:t>t</w:t>
      </w:r>
      <w:r>
        <w:rPr>
          <w:rFonts w:ascii="Times New Roman" w:hAnsi="Times New Roman" w:eastAsia="Microsoft JhengHei UI Light" w:cs="Times New Roman"/>
          <w:i/>
          <w:szCs w:val="22"/>
        </w:rPr>
        <w:t xml:space="preserve"> = κ</w:t>
      </w:r>
      <w:r>
        <w:rPr>
          <w:rFonts w:ascii="Times New Roman" w:hAnsi="Times New Roman" w:eastAsia="Microsoft JhengHei UI Light" w:cs="Times New Roman"/>
          <w:i/>
          <w:szCs w:val="22"/>
          <w:vertAlign w:val="subscript"/>
        </w:rPr>
        <w:t xml:space="preserve">0 </w:t>
      </w:r>
      <w:r>
        <w:rPr>
          <w:rFonts w:ascii="Times New Roman" w:hAnsi="Times New Roman" w:eastAsia="Microsoft JhengHei UI Light" w:cs="Times New Roman"/>
          <w:i/>
          <w:szCs w:val="22"/>
        </w:rPr>
        <w:t>+</w:t>
      </w:r>
      <m:oMath>
        <m:nary>
          <m:naryPr>
            <m:chr m:val="∑"/>
            <m:limLoc m:val="undOvr"/>
            <m:ctrlPr>
              <w:rPr>
                <w:rFonts w:ascii="Cambria Math" w:hAnsi="Cambria Math" w:eastAsia="Microsoft JhengHei UI Light" w:cs="Times New Roman"/>
                <w:i/>
                <w:szCs w:val="22"/>
              </w:rPr>
            </m:ctrlPr>
          </m:naryPr>
          <m:sub>
            <m:r>
              <w:rPr>
                <w:rFonts w:ascii="Cambria Math" w:hAnsi="Cambria Math" w:eastAsia="Microsoft JhengHei UI Light" w:cs="Times New Roman"/>
                <w:szCs w:val="22"/>
              </w:rPr>
              <m:t>j=1</m:t>
            </m:r>
            <m:ctrlPr>
              <w:rPr>
                <w:rFonts w:ascii="Cambria Math" w:hAnsi="Cambria Math" w:eastAsia="Microsoft JhengHei UI Light" w:cs="Times New Roman"/>
                <w:i/>
                <w:szCs w:val="22"/>
              </w:rPr>
            </m:ctrlPr>
          </m:sub>
          <m:sup>
            <m:r>
              <w:rPr>
                <w:rFonts w:ascii="Cambria Math" w:hAnsi="Cambria Math" w:eastAsia="Microsoft JhengHei UI Light" w:cs="Times New Roman"/>
                <w:szCs w:val="22"/>
              </w:rPr>
              <m:t>p</m:t>
            </m:r>
            <m:ctrlPr>
              <w:rPr>
                <w:rFonts w:ascii="Cambria Math" w:hAnsi="Cambria Math" w:eastAsia="Microsoft JhengHei UI Light" w:cs="Times New Roman"/>
                <w:i/>
                <w:szCs w:val="22"/>
              </w:rPr>
            </m:ctrlPr>
          </m:sup>
          <m:e>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i</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j</m:t>
                </m:r>
                <m:ctrlPr>
                  <w:rPr>
                    <w:rFonts w:ascii="Cambria Math" w:hAnsi="Cambria Math" w:eastAsia="Microsoft JhengHei UI Light" w:cs="Times New Roman"/>
                    <w:i/>
                    <w:szCs w:val="22"/>
                  </w:rPr>
                </m:ctrlPr>
              </m:sub>
            </m:sSub>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x</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t-j</m:t>
                </m:r>
                <m:ctrlPr>
                  <w:rPr>
                    <w:rFonts w:ascii="Cambria Math" w:hAnsi="Cambria Math" w:eastAsia="Microsoft JhengHei UI Light" w:cs="Times New Roman"/>
                    <w:i/>
                    <w:szCs w:val="22"/>
                  </w:rPr>
                </m:ctrlPr>
              </m:sub>
            </m:sSub>
            <m:ctrlPr>
              <w:rPr>
                <w:rFonts w:ascii="Cambria Math" w:hAnsi="Cambria Math" w:eastAsia="Microsoft JhengHei UI Light" w:cs="Times New Roman"/>
                <w:i/>
                <w:szCs w:val="22"/>
              </w:rPr>
            </m:ctrlPr>
          </m:e>
        </m:nary>
      </m:oMath>
      <w:r>
        <w:rPr>
          <w:rFonts w:ascii="Times New Roman" w:hAnsi="Times New Roman" w:eastAsia="Microsoft JhengHei UI Light" w:cs="Times New Roman"/>
          <w:i/>
          <w:szCs w:val="22"/>
        </w:rPr>
        <w:t xml:space="preserve">+ </w:t>
      </w:r>
      <m:oMath>
        <m:nary>
          <m:naryPr>
            <m:chr m:val="∑"/>
            <m:limLoc m:val="undOvr"/>
            <m:ctrlPr>
              <w:rPr>
                <w:rFonts w:ascii="Cambria Math" w:hAnsi="Cambria Math" w:eastAsia="Microsoft JhengHei UI Light" w:cs="Times New Roman"/>
                <w:i/>
                <w:szCs w:val="22"/>
              </w:rPr>
            </m:ctrlPr>
          </m:naryPr>
          <m:sub>
            <m:r>
              <w:rPr>
                <w:rFonts w:ascii="Cambria Math" w:hAnsi="Cambria Math" w:eastAsia="Microsoft JhengHei UI Light" w:cs="Times New Roman"/>
                <w:szCs w:val="22"/>
              </w:rPr>
              <m:t>j=1</m:t>
            </m:r>
            <m:ctrlPr>
              <w:rPr>
                <w:rFonts w:ascii="Cambria Math" w:hAnsi="Cambria Math" w:eastAsia="Microsoft JhengHei UI Light" w:cs="Times New Roman"/>
                <w:i/>
                <w:szCs w:val="22"/>
              </w:rPr>
            </m:ctrlPr>
          </m:sub>
          <m:sup>
            <m:r>
              <w:rPr>
                <w:rFonts w:ascii="Cambria Math" w:hAnsi="Cambria Math" w:eastAsia="Microsoft JhengHei UI Light" w:cs="Times New Roman"/>
                <w:szCs w:val="22"/>
              </w:rPr>
              <m:t>p</m:t>
            </m:r>
            <m:ctrlPr>
              <w:rPr>
                <w:rFonts w:ascii="Cambria Math" w:hAnsi="Cambria Math" w:eastAsia="Microsoft JhengHei UI Light" w:cs="Times New Roman"/>
                <w:i/>
                <w:szCs w:val="22"/>
              </w:rPr>
            </m:ctrlPr>
          </m:sup>
          <m:e>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j</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j</m:t>
                </m:r>
                <m:ctrlPr>
                  <w:rPr>
                    <w:rFonts w:ascii="Cambria Math" w:hAnsi="Cambria Math" w:eastAsia="Microsoft JhengHei UI Light" w:cs="Times New Roman"/>
                    <w:i/>
                    <w:szCs w:val="22"/>
                  </w:rPr>
                </m:ctrlPr>
              </m:sub>
            </m:sSub>
            <m:sSub>
              <m:sSubPr>
                <m:ctrlPr>
                  <w:rPr>
                    <w:rFonts w:ascii="Cambria Math" w:hAnsi="Cambria Math" w:eastAsia="Microsoft JhengHei UI Light" w:cs="Times New Roman"/>
                    <w:i/>
                    <w:szCs w:val="22"/>
                  </w:rPr>
                </m:ctrlPr>
              </m:sSubPr>
              <m:e>
                <m:r>
                  <w:rPr>
                    <w:rFonts w:ascii="Cambria Math" w:hAnsi="Cambria Math" w:eastAsia="Microsoft JhengHei UI Light" w:cs="Times New Roman"/>
                    <w:szCs w:val="22"/>
                  </w:rPr>
                  <m:t>y</m:t>
                </m:r>
                <m:ctrlPr>
                  <w:rPr>
                    <w:rFonts w:ascii="Cambria Math" w:hAnsi="Cambria Math" w:eastAsia="Microsoft JhengHei UI Light" w:cs="Times New Roman"/>
                    <w:i/>
                    <w:szCs w:val="22"/>
                  </w:rPr>
                </m:ctrlPr>
              </m:e>
              <m:sub>
                <m:r>
                  <w:rPr>
                    <w:rFonts w:ascii="Cambria Math" w:hAnsi="Cambria Math" w:eastAsia="Microsoft JhengHei UI Light" w:cs="Times New Roman"/>
                    <w:szCs w:val="22"/>
                  </w:rPr>
                  <m:t>t-j</m:t>
                </m:r>
                <m:ctrlPr>
                  <w:rPr>
                    <w:rFonts w:ascii="Cambria Math" w:hAnsi="Cambria Math" w:eastAsia="Microsoft JhengHei UI Light" w:cs="Times New Roman"/>
                    <w:i/>
                    <w:szCs w:val="22"/>
                  </w:rPr>
                </m:ctrlPr>
              </m:sub>
            </m:sSub>
            <m:ctrlPr>
              <w:rPr>
                <w:rFonts w:ascii="Cambria Math" w:hAnsi="Cambria Math" w:eastAsia="Microsoft JhengHei UI Light" w:cs="Times New Roman"/>
                <w:i/>
                <w:szCs w:val="22"/>
              </w:rPr>
            </m:ctrlPr>
          </m:e>
        </m:nary>
      </m:oMath>
      <w:r>
        <w:rPr>
          <w:rFonts w:ascii="Times New Roman" w:hAnsi="Times New Roman" w:eastAsia="Microsoft JhengHei UI Light" w:cs="Times New Roman"/>
          <w:i/>
          <w:szCs w:val="22"/>
        </w:rPr>
        <w:t>+ u</w:t>
      </w:r>
      <w:r>
        <w:rPr>
          <w:rFonts w:ascii="Times New Roman" w:hAnsi="Times New Roman" w:eastAsia="Microsoft JhengHei UI Light" w:cs="Times New Roman"/>
          <w:i/>
          <w:szCs w:val="22"/>
          <w:vertAlign w:val="subscript"/>
        </w:rPr>
        <w:t>yt</w:t>
      </w:r>
      <w:r>
        <w:rPr>
          <w:rFonts w:ascii="Times New Roman" w:hAnsi="Times New Roman" w:eastAsia="Microsoft JhengHei UI Light" w:cs="Times New Roman"/>
          <w:szCs w:val="22"/>
        </w:rPr>
        <w:t>.......... (7)</w:t>
      </w:r>
    </w:p>
    <w:p>
      <w:pPr>
        <w:spacing w:after="0"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Table 6 is a variance decomposition with the stock price is dependent variable. From the result of variance decomposition we can know whether the contribution of regressor is too small or not to influenced the formation of stock price.</w:t>
      </w:r>
    </w:p>
    <w:tbl>
      <w:tblPr>
        <w:tblStyle w:val="7"/>
        <w:tblW w:w="10294" w:type="dxa"/>
        <w:tblInd w:w="-176" w:type="dxa"/>
        <w:tblLayout w:type="fixed"/>
        <w:tblCellMar>
          <w:top w:w="0" w:type="dxa"/>
          <w:left w:w="108" w:type="dxa"/>
          <w:bottom w:w="0" w:type="dxa"/>
          <w:right w:w="108" w:type="dxa"/>
        </w:tblCellMar>
      </w:tblPr>
      <w:tblGrid>
        <w:gridCol w:w="852"/>
        <w:gridCol w:w="819"/>
        <w:gridCol w:w="819"/>
        <w:gridCol w:w="819"/>
        <w:gridCol w:w="958"/>
        <w:gridCol w:w="979"/>
        <w:gridCol w:w="958"/>
        <w:gridCol w:w="818"/>
        <w:gridCol w:w="818"/>
        <w:gridCol w:w="818"/>
        <w:gridCol w:w="818"/>
        <w:gridCol w:w="818"/>
      </w:tblGrid>
      <w:tr>
        <w:tblPrEx>
          <w:tblLayout w:type="fixed"/>
          <w:tblCellMar>
            <w:top w:w="0" w:type="dxa"/>
            <w:left w:w="108" w:type="dxa"/>
            <w:bottom w:w="0" w:type="dxa"/>
            <w:right w:w="108" w:type="dxa"/>
          </w:tblCellMar>
        </w:tblPrEx>
        <w:trPr>
          <w:trHeight w:val="315" w:hRule="atLeast"/>
        </w:trPr>
        <w:tc>
          <w:tcPr>
            <w:tcW w:w="10294" w:type="dxa"/>
            <w:gridSpan w:val="12"/>
            <w:tcBorders>
              <w:top w:val="nil"/>
              <w:left w:val="nil"/>
              <w:bottom w:val="double" w:color="505050" w:sz="6"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Table 6. Contribution Inf, CuA, and InR on SP</w:t>
            </w:r>
          </w:p>
        </w:tc>
      </w:tr>
      <w:tr>
        <w:tblPrEx>
          <w:tblLayout w:type="fixed"/>
          <w:tblCellMar>
            <w:top w:w="0" w:type="dxa"/>
            <w:left w:w="108" w:type="dxa"/>
            <w:bottom w:w="0" w:type="dxa"/>
            <w:right w:w="108" w:type="dxa"/>
          </w:tblCellMar>
        </w:tblPrEx>
        <w:trPr>
          <w:trHeight w:val="315" w:hRule="atLeast"/>
        </w:trPr>
        <w:tc>
          <w:tcPr>
            <w:tcW w:w="852" w:type="dxa"/>
            <w:vMerge w:val="restart"/>
            <w:tcBorders>
              <w:top w:val="nil"/>
              <w:left w:val="nil"/>
              <w:bottom w:val="single" w:color="505050" w:sz="4" w:space="0"/>
              <w:right w:val="nil"/>
            </w:tcBorders>
            <w:shd w:val="clear" w:color="auto" w:fill="auto"/>
            <w:vAlign w:val="center"/>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Period</w:t>
            </w:r>
          </w:p>
        </w:tc>
        <w:tc>
          <w:tcPr>
            <w:tcW w:w="9442" w:type="dxa"/>
            <w:gridSpan w:val="11"/>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Variance Decomposition of SP</w:t>
            </w:r>
          </w:p>
        </w:tc>
      </w:tr>
      <w:tr>
        <w:tblPrEx>
          <w:tblLayout w:type="fixed"/>
          <w:tblCellMar>
            <w:top w:w="0" w:type="dxa"/>
            <w:left w:w="108" w:type="dxa"/>
            <w:bottom w:w="0" w:type="dxa"/>
            <w:right w:w="108" w:type="dxa"/>
          </w:tblCellMar>
        </w:tblPrEx>
        <w:trPr>
          <w:trHeight w:val="300" w:hRule="atLeast"/>
        </w:trPr>
        <w:tc>
          <w:tcPr>
            <w:tcW w:w="85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c>
          <w:tcPr>
            <w:tcW w:w="2457" w:type="dxa"/>
            <w:gridSpan w:val="3"/>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Philippines</w:t>
            </w:r>
          </w:p>
        </w:tc>
        <w:tc>
          <w:tcPr>
            <w:tcW w:w="1937" w:type="dxa"/>
            <w:gridSpan w:val="2"/>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Malaysia</w:t>
            </w:r>
          </w:p>
        </w:tc>
        <w:tc>
          <w:tcPr>
            <w:tcW w:w="2594" w:type="dxa"/>
            <w:gridSpan w:val="3"/>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Indonesia</w:t>
            </w:r>
          </w:p>
        </w:tc>
        <w:tc>
          <w:tcPr>
            <w:tcW w:w="2454" w:type="dxa"/>
            <w:gridSpan w:val="3"/>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Thailand</w:t>
            </w:r>
          </w:p>
        </w:tc>
      </w:tr>
      <w:tr>
        <w:tblPrEx>
          <w:tblLayout w:type="fixed"/>
          <w:tblCellMar>
            <w:top w:w="0" w:type="dxa"/>
            <w:left w:w="108" w:type="dxa"/>
            <w:bottom w:w="0" w:type="dxa"/>
            <w:right w:w="108" w:type="dxa"/>
          </w:tblCellMar>
        </w:tblPrEx>
        <w:trPr>
          <w:trHeight w:val="300" w:hRule="atLeast"/>
        </w:trPr>
        <w:tc>
          <w:tcPr>
            <w:tcW w:w="852" w:type="dxa"/>
            <w:vMerge w:val="continue"/>
            <w:tcBorders>
              <w:top w:val="nil"/>
              <w:left w:val="nil"/>
              <w:bottom w:val="single" w:color="505050" w:sz="4" w:space="0"/>
              <w:right w:val="nil"/>
            </w:tcBorders>
            <w:vAlign w:val="center"/>
          </w:tcPr>
          <w:p>
            <w:pPr>
              <w:spacing w:after="0" w:line="240" w:lineRule="auto"/>
              <w:rPr>
                <w:rFonts w:ascii="Times New Roman" w:hAnsi="Times New Roman" w:eastAsia="Times New Roman" w:cs="Times New Roman"/>
                <w:b/>
                <w:bCs/>
                <w:color w:val="000000"/>
                <w:szCs w:val="22"/>
                <w:lang w:eastAsia="id-ID"/>
              </w:rPr>
            </w:pPr>
          </w:p>
        </w:tc>
        <w:tc>
          <w:tcPr>
            <w:tcW w:w="81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Inf </w:t>
            </w:r>
          </w:p>
        </w:tc>
        <w:tc>
          <w:tcPr>
            <w:tcW w:w="81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81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95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Inf </w:t>
            </w:r>
          </w:p>
        </w:tc>
        <w:tc>
          <w:tcPr>
            <w:tcW w:w="979"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95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Inf </w:t>
            </w:r>
          </w:p>
        </w:tc>
        <w:tc>
          <w:tcPr>
            <w:tcW w:w="81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81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c>
          <w:tcPr>
            <w:tcW w:w="81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Inf </w:t>
            </w:r>
          </w:p>
        </w:tc>
        <w:tc>
          <w:tcPr>
            <w:tcW w:w="81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CuA</w:t>
            </w:r>
          </w:p>
        </w:tc>
        <w:tc>
          <w:tcPr>
            <w:tcW w:w="818" w:type="dxa"/>
            <w:tcBorders>
              <w:top w:val="nil"/>
              <w:left w:val="nil"/>
              <w:bottom w:val="single" w:color="505050"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InR</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1</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0.2189</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0.0305</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0.1493</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0.2042</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0.1498</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0.5203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0.0001</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0.0042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1.1454</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3</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0.0556</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0.5117</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0.0965</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0.1166</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0.1453</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4.599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0.1029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1.1194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0.1086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1.4388</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4</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0.2867</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0.7785</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0.193</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0.8502</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0.1403</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3.2973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0.0785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1.6873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0.4985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1.7909</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5</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0.7209</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0.9956</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0.3153</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2.9157</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0.2263</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4.9835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0.0662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2.2139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0.1307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1.7824</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6</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1.3127</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1.1653</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0.4594</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5.9439</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0.4114</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7.9097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0.0725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2.7095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1.6033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1.7757</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7</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1.9915</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1.2964</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0.6215</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9.259</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0.6942</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9.1798</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0.1288</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3.1843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0.0024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2.2114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1.9205</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8</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2.6924</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1.3982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0.7984</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12.3671</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1.0696</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10.1335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0.1956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3.6459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2.9056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2.0119</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9</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3.3692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1.4782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0.9872</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15.0431</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1.5308</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10.2661</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0.2584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4.0992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0.0038</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3.5795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2.0858</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10</w:t>
            </w:r>
          </w:p>
        </w:tc>
        <w:tc>
          <w:tcPr>
            <w:tcW w:w="81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3.9949</w:t>
            </w:r>
          </w:p>
        </w:tc>
        <w:tc>
          <w:tcPr>
            <w:tcW w:w="81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1.542</w:t>
            </w:r>
          </w:p>
        </w:tc>
        <w:tc>
          <w:tcPr>
            <w:tcW w:w="81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0.1853</w:t>
            </w:r>
          </w:p>
        </w:tc>
        <w:tc>
          <w:tcPr>
            <w:tcW w:w="95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17.2472</w:t>
            </w:r>
          </w:p>
        </w:tc>
        <w:tc>
          <w:tcPr>
            <w:tcW w:w="979"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2.0699</w:t>
            </w:r>
          </w:p>
        </w:tc>
        <w:tc>
          <w:tcPr>
            <w:tcW w:w="95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10.2925</w:t>
            </w:r>
          </w:p>
        </w:tc>
        <w:tc>
          <w:tcPr>
            <w:tcW w:w="81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0.2749</w:t>
            </w:r>
          </w:p>
        </w:tc>
        <w:tc>
          <w:tcPr>
            <w:tcW w:w="81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4.5472</w:t>
            </w:r>
          </w:p>
        </w:tc>
        <w:tc>
          <w:tcPr>
            <w:tcW w:w="81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0.0045</w:t>
            </w:r>
          </w:p>
        </w:tc>
        <w:tc>
          <w:tcPr>
            <w:tcW w:w="81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4.0639</w:t>
            </w:r>
          </w:p>
        </w:tc>
        <w:tc>
          <w:tcPr>
            <w:tcW w:w="818"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2.0264</w:t>
            </w:r>
          </w:p>
        </w:tc>
      </w:tr>
      <w:tr>
        <w:tblPrEx>
          <w:tblLayout w:type="fixed"/>
          <w:tblCellMar>
            <w:top w:w="0" w:type="dxa"/>
            <w:left w:w="108" w:type="dxa"/>
            <w:bottom w:w="0" w:type="dxa"/>
            <w:right w:w="108" w:type="dxa"/>
          </w:tblCellMar>
        </w:tblPrEx>
        <w:trPr>
          <w:trHeight w:val="300" w:hRule="atLeast"/>
        </w:trPr>
        <w:tc>
          <w:tcPr>
            <w:tcW w:w="10294" w:type="dxa"/>
            <w:gridSpan w:val="12"/>
            <w:tcBorders>
              <w:top w:val="single" w:color="auto" w:sz="4" w:space="0"/>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cs="Times New Roman"/>
                <w:b/>
                <w:bCs/>
                <w:color w:val="000000"/>
                <w:szCs w:val="22"/>
                <w:lang w:eastAsia="id-ID"/>
              </w:rPr>
            </w:pPr>
            <w:r>
              <w:rPr>
                <w:rFonts w:ascii="Times New Roman" w:hAnsi="Times New Roman" w:eastAsia="Times New Roman" w:cs="Times New Roman"/>
                <w:b/>
                <w:bCs/>
                <w:color w:val="000000"/>
                <w:szCs w:val="22"/>
                <w:lang w:eastAsia="id-ID"/>
              </w:rPr>
              <w:t xml:space="preserve"> Diagnostic Test</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p</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1</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6</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χ</w:t>
            </w:r>
            <w:r>
              <w:rPr>
                <w:rFonts w:ascii="Times New Roman" w:hAnsi="Times New Roman" w:eastAsia="Times New Roman" w:cs="Times New Roman"/>
                <w:b/>
                <w:color w:val="000000"/>
                <w:szCs w:val="22"/>
                <w:vertAlign w:val="superscript"/>
                <w:lang w:eastAsia="id-ID"/>
              </w:rPr>
              <w:t>2</w:t>
            </w:r>
            <w:r>
              <w:rPr>
                <w:rFonts w:ascii="Times New Roman" w:hAnsi="Times New Roman" w:eastAsia="Times New Roman" w:cs="Times New Roman"/>
                <w:b/>
                <w:color w:val="000000"/>
                <w:szCs w:val="22"/>
                <w:vertAlign w:val="subscript"/>
                <w:lang w:eastAsia="id-ID"/>
              </w:rPr>
              <w:t>sc</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0.9618</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0.1169</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0.767</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0.5222</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0.1072</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0.9946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0.6433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0.0384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0.1396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0.8548</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0.2308</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0.7066</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0.4892</w:t>
            </w: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w:t>
            </w: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0.6922</w:t>
            </w: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0.7433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0.7277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0.2384</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0.4356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0.6858</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0.1349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0.0783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0.0000</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0.6938</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0.3732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0.2126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0.0786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0.0991</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0.5236</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0.4205</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0.2917</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0.6713</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0.3903</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0.0069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0.0019</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0.1727</w:t>
            </w:r>
          </w:p>
        </w:tc>
      </w:tr>
      <w:tr>
        <w:tblPrEx>
          <w:tblLayout w:type="fixed"/>
          <w:tblCellMar>
            <w:top w:w="0" w:type="dxa"/>
            <w:left w:w="108" w:type="dxa"/>
            <w:bottom w:w="0" w:type="dxa"/>
            <w:right w:w="108" w:type="dxa"/>
          </w:tblCellMar>
        </w:tblPrEx>
        <w:trPr>
          <w:trHeight w:val="300" w:hRule="atLeast"/>
        </w:trPr>
        <w:tc>
          <w:tcPr>
            <w:tcW w:w="852"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79"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95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0.4272</w:t>
            </w:r>
          </w:p>
        </w:tc>
        <w:tc>
          <w:tcPr>
            <w:tcW w:w="818" w:type="dxa"/>
            <w:tcBorders>
              <w:top w:val="nil"/>
              <w:left w:val="nil"/>
              <w:bottom w:val="nil"/>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p>
        </w:tc>
      </w:tr>
      <w:tr>
        <w:tblPrEx>
          <w:tblLayout w:type="fixed"/>
          <w:tblCellMar>
            <w:top w:w="0" w:type="dxa"/>
            <w:left w:w="108" w:type="dxa"/>
            <w:bottom w:w="0" w:type="dxa"/>
            <w:right w:w="108" w:type="dxa"/>
          </w:tblCellMar>
        </w:tblPrEx>
        <w:trPr>
          <w:trHeight w:val="315" w:hRule="atLeast"/>
        </w:trPr>
        <w:tc>
          <w:tcPr>
            <w:tcW w:w="852"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b/>
                <w:color w:val="000000"/>
                <w:szCs w:val="22"/>
                <w:lang w:eastAsia="id-ID"/>
              </w:rPr>
            </w:pPr>
            <w:r>
              <w:rPr>
                <w:rFonts w:ascii="Times New Roman" w:hAnsi="Times New Roman" w:eastAsia="Times New Roman" w:cs="Times New Roman"/>
                <w:b/>
                <w:color w:val="000000"/>
                <w:szCs w:val="22"/>
                <w:lang w:eastAsia="id-ID"/>
              </w:rPr>
              <w:t>χ</w:t>
            </w:r>
            <w:r>
              <w:rPr>
                <w:rFonts w:ascii="Times New Roman" w:hAnsi="Times New Roman" w:eastAsia="Times New Roman" w:cs="Times New Roman"/>
                <w:b/>
                <w:color w:val="000000"/>
                <w:szCs w:val="22"/>
                <w:vertAlign w:val="superscript"/>
                <w:lang w:eastAsia="id-ID"/>
              </w:rPr>
              <w:t>2</w:t>
            </w:r>
            <w:r>
              <w:rPr>
                <w:rFonts w:ascii="Times New Roman" w:hAnsi="Times New Roman" w:eastAsia="Times New Roman" w:cs="Times New Roman"/>
                <w:b/>
                <w:color w:val="000000"/>
                <w:szCs w:val="22"/>
                <w:vertAlign w:val="subscript"/>
                <w:lang w:eastAsia="id-ID"/>
              </w:rPr>
              <w:t>ht</w:t>
            </w:r>
          </w:p>
        </w:tc>
        <w:tc>
          <w:tcPr>
            <w:tcW w:w="819"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w:t>
            </w:r>
          </w:p>
        </w:tc>
        <w:tc>
          <w:tcPr>
            <w:tcW w:w="819"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0.1529</w:t>
            </w:r>
          </w:p>
        </w:tc>
        <w:tc>
          <w:tcPr>
            <w:tcW w:w="819"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0.4695</w:t>
            </w:r>
          </w:p>
        </w:tc>
        <w:tc>
          <w:tcPr>
            <w:tcW w:w="95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w:t>
            </w:r>
          </w:p>
        </w:tc>
        <w:tc>
          <w:tcPr>
            <w:tcW w:w="979"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0.9635</w:t>
            </w:r>
          </w:p>
        </w:tc>
        <w:tc>
          <w:tcPr>
            <w:tcW w:w="95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0.3628</w:t>
            </w:r>
          </w:p>
        </w:tc>
        <w:tc>
          <w:tcPr>
            <w:tcW w:w="81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0.4599</w:t>
            </w:r>
          </w:p>
        </w:tc>
        <w:tc>
          <w:tcPr>
            <w:tcW w:w="81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w:t>
            </w:r>
          </w:p>
        </w:tc>
        <w:tc>
          <w:tcPr>
            <w:tcW w:w="81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0.0258</w:t>
            </w:r>
          </w:p>
        </w:tc>
        <w:tc>
          <w:tcPr>
            <w:tcW w:w="81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0.2985</w:t>
            </w:r>
          </w:p>
        </w:tc>
        <w:tc>
          <w:tcPr>
            <w:tcW w:w="818" w:type="dxa"/>
            <w:tcBorders>
              <w:top w:val="nil"/>
              <w:left w:val="nil"/>
              <w:bottom w:val="double" w:color="auto" w:sz="6" w:space="0"/>
              <w:right w:val="nil"/>
            </w:tcBorders>
            <w:shd w:val="clear" w:color="auto" w:fill="auto"/>
            <w:vAlign w:val="bottom"/>
          </w:tcPr>
          <w:p>
            <w:pPr>
              <w:spacing w:after="0" w:line="240" w:lineRule="auto"/>
              <w:jc w:val="center"/>
              <w:rPr>
                <w:rFonts w:ascii="Times New Roman" w:hAnsi="Times New Roman" w:eastAsia="Times New Roman" w:cs="Times New Roman"/>
                <w:color w:val="000000"/>
                <w:szCs w:val="22"/>
                <w:lang w:eastAsia="id-ID"/>
              </w:rPr>
            </w:pPr>
            <w:r>
              <w:rPr>
                <w:rFonts w:ascii="Times New Roman" w:hAnsi="Times New Roman" w:eastAsia="Times New Roman" w:cs="Times New Roman"/>
                <w:color w:val="000000"/>
                <w:szCs w:val="22"/>
                <w:lang w:eastAsia="id-ID"/>
              </w:rPr>
              <w:t>-</w:t>
            </w:r>
          </w:p>
        </w:tc>
      </w:tr>
    </w:tbl>
    <w:p>
      <w:pPr>
        <w:spacing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Note: p is lag length, χ</w:t>
      </w:r>
      <w:r>
        <w:rPr>
          <w:rFonts w:ascii="Times New Roman" w:hAnsi="Times New Roman" w:cs="Times New Roman"/>
          <w:color w:val="000000" w:themeColor="text1"/>
          <w:szCs w:val="22"/>
          <w:vertAlign w:val="superscript"/>
        </w:rPr>
        <w:t>2</w:t>
      </w:r>
      <w:r>
        <w:rPr>
          <w:rFonts w:ascii="Times New Roman" w:hAnsi="Times New Roman" w:cs="Times New Roman"/>
          <w:color w:val="000000" w:themeColor="text1"/>
          <w:szCs w:val="22"/>
          <w:vertAlign w:val="subscript"/>
        </w:rPr>
        <w:t>sc</w:t>
      </w:r>
      <w:r>
        <w:rPr>
          <w:rFonts w:ascii="Times New Roman" w:hAnsi="Times New Roman" w:cs="Times New Roman"/>
          <w:color w:val="000000" w:themeColor="text1"/>
          <w:szCs w:val="22"/>
        </w:rPr>
        <w:t xml:space="preserve"> is serial correlation test, χ</w:t>
      </w:r>
      <w:r>
        <w:rPr>
          <w:rFonts w:ascii="Times New Roman" w:hAnsi="Times New Roman" w:cs="Times New Roman"/>
          <w:color w:val="000000" w:themeColor="text1"/>
          <w:szCs w:val="22"/>
          <w:vertAlign w:val="superscript"/>
        </w:rPr>
        <w:t>2</w:t>
      </w:r>
      <w:r>
        <w:rPr>
          <w:rFonts w:ascii="Times New Roman" w:hAnsi="Times New Roman" w:cs="Times New Roman"/>
          <w:color w:val="000000" w:themeColor="text1"/>
          <w:szCs w:val="22"/>
          <w:vertAlign w:val="subscript"/>
        </w:rPr>
        <w:t>ht</w:t>
      </w:r>
      <w:r>
        <w:rPr>
          <w:rFonts w:ascii="Times New Roman" w:hAnsi="Times New Roman" w:cs="Times New Roman"/>
          <w:color w:val="000000" w:themeColor="text1"/>
          <w:szCs w:val="22"/>
        </w:rPr>
        <w:t xml:space="preserve"> is a heteroskedasticity test based on bivariate analysis “one for one” regressors against SP.</w:t>
      </w:r>
    </w:p>
    <w:p>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From table 6 it can be concluded even at the end of the tenth period, the contribution of regressors has increased but their amounts is very small to influence the formation of stock price in ASEAN-4 countries. This finding strengthen our previous result. Finally, the test of cusum and cusumq we applied to test the stability of the model that we propose. It is seen that from ASEAN-4 model, we conclude that our equation has fulfilled the diagnostic test and also the stability test, where cusum and cusumq are within the 5% significance limit.</w:t>
      </w:r>
    </w:p>
    <w:p>
      <w:pPr>
        <w:spacing w:line="36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lang w:eastAsia="id-ID"/>
        </w:rPr>
        <w:drawing>
          <wp:inline distT="0" distB="0" distL="0" distR="0">
            <wp:extent cx="1752600" cy="1200150"/>
            <wp:effectExtent l="19050" t="0" r="0" b="0"/>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6"/>
                    <pic:cNvPicPr>
                      <a:picLocks noChangeAspect="1" noChangeArrowheads="1"/>
                    </pic:cNvPicPr>
                  </pic:nvPicPr>
                  <pic:blipFill>
                    <a:blip r:embed="rId4" cstate="print"/>
                    <a:srcRect/>
                    <a:stretch>
                      <a:fillRect/>
                    </a:stretch>
                  </pic:blipFill>
                  <pic:spPr>
                    <a:xfrm>
                      <a:off x="0" y="0"/>
                      <a:ext cx="1752600" cy="1200150"/>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Cs w:val="22"/>
          <w:lang w:eastAsia="id-ID"/>
        </w:rPr>
        <w:drawing>
          <wp:inline distT="0" distB="0" distL="0" distR="0">
            <wp:extent cx="1799590" cy="1190625"/>
            <wp:effectExtent l="19050" t="0" r="0" b="0"/>
            <wp:docPr id="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pic:cNvPicPr>
                      <a:picLocks noChangeAspect="1" noChangeArrowheads="1"/>
                    </pic:cNvPicPr>
                  </pic:nvPicPr>
                  <pic:blipFill>
                    <a:blip r:embed="rId5" cstate="print"/>
                    <a:srcRect/>
                    <a:stretch>
                      <a:fillRect/>
                    </a:stretch>
                  </pic:blipFill>
                  <pic:spPr>
                    <a:xfrm>
                      <a:off x="0" y="0"/>
                      <a:ext cx="1800218" cy="1190955"/>
                    </a:xfrm>
                    <a:prstGeom prst="rect">
                      <a:avLst/>
                    </a:prstGeom>
                    <a:noFill/>
                    <a:ln w="9525">
                      <a:noFill/>
                      <a:miter lim="800000"/>
                      <a:headEnd/>
                      <a:tailEnd/>
                    </a:ln>
                  </pic:spPr>
                </pic:pic>
              </a:graphicData>
            </a:graphic>
          </wp:inline>
        </w:drawing>
      </w:r>
    </w:p>
    <w:p>
      <w:pPr>
        <w:pStyle w:val="8"/>
        <w:numPr>
          <w:ilvl w:val="0"/>
          <w:numId w:val="1"/>
        </w:numPr>
        <w:spacing w:after="0" w:line="360" w:lineRule="auto"/>
        <w:contextualSpacing w:val="0"/>
        <w:jc w:val="center"/>
        <w:rPr>
          <w:rFonts w:ascii="Times New Roman" w:hAnsi="Times New Roman" w:cs="Times New Roman"/>
          <w:szCs w:val="22"/>
        </w:rPr>
      </w:pPr>
      <w:r>
        <w:rPr>
          <w:rFonts w:ascii="Times New Roman" w:hAnsi="Times New Roman" w:cs="Times New Roman"/>
          <w:szCs w:val="22"/>
        </w:rPr>
        <w:t>Philippines Cusum dan Cusumq</w:t>
      </w:r>
    </w:p>
    <w:p>
      <w:pPr>
        <w:pStyle w:val="8"/>
        <w:spacing w:after="0" w:line="360" w:lineRule="auto"/>
        <w:ind w:left="0"/>
        <w:contextualSpacing w:val="0"/>
        <w:jc w:val="center"/>
        <w:rPr>
          <w:rFonts w:ascii="Times New Roman" w:hAnsi="Times New Roman" w:cs="Times New Roman"/>
          <w:b/>
          <w:szCs w:val="22"/>
        </w:rPr>
      </w:pPr>
      <w:r>
        <w:rPr>
          <w:rFonts w:ascii="Times New Roman" w:hAnsi="Times New Roman" w:cs="Times New Roman"/>
          <w:b/>
          <w:szCs w:val="22"/>
          <w:lang w:eastAsia="id-ID"/>
        </w:rPr>
        <w:drawing>
          <wp:inline distT="0" distB="0" distL="0" distR="0">
            <wp:extent cx="1733550" cy="1262380"/>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r:embed="rId6" cstate="print"/>
                    <a:srcRect/>
                    <a:stretch>
                      <a:fillRect/>
                    </a:stretch>
                  </pic:blipFill>
                  <pic:spPr>
                    <a:xfrm>
                      <a:off x="0" y="0"/>
                      <a:ext cx="1737886" cy="1265909"/>
                    </a:xfrm>
                    <a:prstGeom prst="rect">
                      <a:avLst/>
                    </a:prstGeom>
                    <a:noFill/>
                    <a:ln w="9525">
                      <a:noFill/>
                      <a:miter lim="800000"/>
                      <a:headEnd/>
                      <a:tailEnd/>
                    </a:ln>
                  </pic:spPr>
                </pic:pic>
              </a:graphicData>
            </a:graphic>
          </wp:inline>
        </w:drawing>
      </w:r>
      <w:r>
        <w:rPr>
          <w:rFonts w:ascii="Times New Roman" w:hAnsi="Times New Roman" w:cs="Times New Roman"/>
          <w:b/>
          <w:szCs w:val="22"/>
          <w:lang w:eastAsia="id-ID"/>
        </w:rPr>
        <w:drawing>
          <wp:inline distT="0" distB="0" distL="0" distR="0">
            <wp:extent cx="1819275" cy="1285875"/>
            <wp:effectExtent l="19050" t="0" r="9525"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7" cstate="print"/>
                    <a:srcRect/>
                    <a:stretch>
                      <a:fillRect/>
                    </a:stretch>
                  </pic:blipFill>
                  <pic:spPr>
                    <a:xfrm>
                      <a:off x="0" y="0"/>
                      <a:ext cx="1824098" cy="1289660"/>
                    </a:xfrm>
                    <a:prstGeom prst="rect">
                      <a:avLst/>
                    </a:prstGeom>
                    <a:noFill/>
                    <a:ln w="9525">
                      <a:noFill/>
                      <a:miter lim="800000"/>
                      <a:headEnd/>
                      <a:tailEnd/>
                    </a:ln>
                  </pic:spPr>
                </pic:pic>
              </a:graphicData>
            </a:graphic>
          </wp:inline>
        </w:drawing>
      </w:r>
    </w:p>
    <w:p>
      <w:pPr>
        <w:pStyle w:val="8"/>
        <w:numPr>
          <w:ilvl w:val="0"/>
          <w:numId w:val="1"/>
        </w:numPr>
        <w:spacing w:after="0" w:line="360" w:lineRule="auto"/>
        <w:contextualSpacing w:val="0"/>
        <w:jc w:val="center"/>
        <w:rPr>
          <w:rFonts w:ascii="Times New Roman" w:hAnsi="Times New Roman" w:cs="Times New Roman"/>
          <w:szCs w:val="22"/>
        </w:rPr>
      </w:pPr>
      <w:r>
        <w:rPr>
          <w:rFonts w:ascii="Times New Roman" w:hAnsi="Times New Roman" w:cs="Times New Roman"/>
          <w:szCs w:val="22"/>
        </w:rPr>
        <w:t>Malaysia Cusum dan Cusumq</w:t>
      </w:r>
    </w:p>
    <w:p>
      <w:pPr>
        <w:pStyle w:val="8"/>
        <w:spacing w:after="0" w:line="360" w:lineRule="auto"/>
        <w:ind w:left="0" w:firstLine="11"/>
        <w:contextualSpacing w:val="0"/>
        <w:jc w:val="center"/>
        <w:rPr>
          <w:rFonts w:ascii="Times New Roman" w:hAnsi="Times New Roman" w:cs="Times New Roman"/>
          <w:b/>
          <w:szCs w:val="22"/>
        </w:rPr>
      </w:pPr>
      <w:r>
        <w:rPr>
          <w:rFonts w:ascii="Times New Roman" w:hAnsi="Times New Roman" w:cs="Times New Roman"/>
          <w:b/>
          <w:szCs w:val="22"/>
          <w:lang w:eastAsia="id-ID"/>
        </w:rPr>
        <w:drawing>
          <wp:inline distT="0" distB="0" distL="0" distR="0">
            <wp:extent cx="1832610" cy="1341120"/>
            <wp:effectExtent l="1905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noChangeArrowheads="1"/>
                    </pic:cNvPicPr>
                  </pic:nvPicPr>
                  <pic:blipFill>
                    <a:blip r:embed="rId8" cstate="print"/>
                    <a:srcRect/>
                    <a:stretch>
                      <a:fillRect/>
                    </a:stretch>
                  </pic:blipFill>
                  <pic:spPr>
                    <a:xfrm>
                      <a:off x="0" y="0"/>
                      <a:ext cx="1846431" cy="1351703"/>
                    </a:xfrm>
                    <a:prstGeom prst="rect">
                      <a:avLst/>
                    </a:prstGeom>
                    <a:noFill/>
                    <a:ln w="9525">
                      <a:noFill/>
                      <a:miter lim="800000"/>
                      <a:headEnd/>
                      <a:tailEnd/>
                    </a:ln>
                  </pic:spPr>
                </pic:pic>
              </a:graphicData>
            </a:graphic>
          </wp:inline>
        </w:drawing>
      </w:r>
      <w:r>
        <w:rPr>
          <w:rFonts w:ascii="Times New Roman" w:hAnsi="Times New Roman" w:cs="Times New Roman"/>
          <w:b/>
          <w:szCs w:val="22"/>
          <w:lang w:eastAsia="id-ID"/>
        </w:rPr>
        <w:drawing>
          <wp:inline distT="0" distB="0" distL="0" distR="0">
            <wp:extent cx="1819275" cy="1306195"/>
            <wp:effectExtent l="19050" t="0" r="9525" b="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9" cstate="print"/>
                    <a:srcRect/>
                    <a:stretch>
                      <a:fillRect/>
                    </a:stretch>
                  </pic:blipFill>
                  <pic:spPr>
                    <a:xfrm>
                      <a:off x="0" y="0"/>
                      <a:ext cx="1824147" cy="1309937"/>
                    </a:xfrm>
                    <a:prstGeom prst="rect">
                      <a:avLst/>
                    </a:prstGeom>
                    <a:noFill/>
                    <a:ln w="9525">
                      <a:noFill/>
                      <a:miter lim="800000"/>
                      <a:headEnd/>
                      <a:tailEnd/>
                    </a:ln>
                  </pic:spPr>
                </pic:pic>
              </a:graphicData>
            </a:graphic>
          </wp:inline>
        </w:drawing>
      </w:r>
    </w:p>
    <w:p>
      <w:pPr>
        <w:pStyle w:val="8"/>
        <w:numPr>
          <w:ilvl w:val="0"/>
          <w:numId w:val="1"/>
        </w:numPr>
        <w:spacing w:line="360" w:lineRule="auto"/>
        <w:contextualSpacing w:val="0"/>
        <w:jc w:val="center"/>
        <w:rPr>
          <w:rFonts w:ascii="Times New Roman" w:hAnsi="Times New Roman" w:cs="Times New Roman"/>
          <w:szCs w:val="22"/>
        </w:rPr>
      </w:pPr>
      <w:r>
        <w:rPr>
          <w:rFonts w:ascii="Times New Roman" w:hAnsi="Times New Roman" w:cs="Times New Roman"/>
          <w:szCs w:val="22"/>
        </w:rPr>
        <w:t>Indonesia Cusum dan Cusumq</w:t>
      </w:r>
    </w:p>
    <w:p>
      <w:pPr>
        <w:spacing w:line="360" w:lineRule="auto"/>
        <w:ind w:hanging="33"/>
        <w:jc w:val="center"/>
        <w:rPr>
          <w:rFonts w:ascii="Times New Roman" w:hAnsi="Times New Roman" w:cs="Times New Roman"/>
          <w:color w:val="000000" w:themeColor="text1"/>
          <w:szCs w:val="22"/>
        </w:rPr>
      </w:pPr>
      <w:r>
        <w:rPr>
          <w:rFonts w:ascii="Times New Roman" w:hAnsi="Times New Roman" w:cs="Times New Roman"/>
          <w:color w:val="000000" w:themeColor="text1"/>
          <w:szCs w:val="22"/>
          <w:lang w:eastAsia="id-ID"/>
        </w:rPr>
        <w:drawing>
          <wp:inline distT="0" distB="0" distL="0" distR="0">
            <wp:extent cx="1828800" cy="1323975"/>
            <wp:effectExtent l="19050" t="0" r="0" b="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noChangeArrowheads="1"/>
                    </pic:cNvPicPr>
                  </pic:nvPicPr>
                  <pic:blipFill>
                    <a:blip r:embed="rId10" cstate="print"/>
                    <a:srcRect/>
                    <a:stretch>
                      <a:fillRect/>
                    </a:stretch>
                  </pic:blipFill>
                  <pic:spPr>
                    <a:xfrm>
                      <a:off x="0" y="0"/>
                      <a:ext cx="1828995" cy="1324629"/>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Cs w:val="22"/>
          <w:lang w:eastAsia="id-ID"/>
        </w:rPr>
        <w:drawing>
          <wp:inline distT="0" distB="0" distL="0" distR="0">
            <wp:extent cx="1826895" cy="1323975"/>
            <wp:effectExtent l="19050" t="0" r="1812" b="0"/>
            <wp:docPr id="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
                    <pic:cNvPicPr>
                      <a:picLocks noChangeAspect="1" noChangeArrowheads="1"/>
                    </pic:cNvPicPr>
                  </pic:nvPicPr>
                  <pic:blipFill>
                    <a:blip r:embed="rId11" cstate="print"/>
                    <a:srcRect/>
                    <a:stretch>
                      <a:fillRect/>
                    </a:stretch>
                  </pic:blipFill>
                  <pic:spPr>
                    <a:xfrm>
                      <a:off x="0" y="0"/>
                      <a:ext cx="1831127" cy="1326974"/>
                    </a:xfrm>
                    <a:prstGeom prst="rect">
                      <a:avLst/>
                    </a:prstGeom>
                    <a:noFill/>
                    <a:ln w="9525">
                      <a:noFill/>
                      <a:miter lim="800000"/>
                      <a:headEnd/>
                      <a:tailEnd/>
                    </a:ln>
                  </pic:spPr>
                </pic:pic>
              </a:graphicData>
            </a:graphic>
          </wp:inline>
        </w:drawing>
      </w:r>
    </w:p>
    <w:p>
      <w:pPr>
        <w:pStyle w:val="8"/>
        <w:numPr>
          <w:ilvl w:val="0"/>
          <w:numId w:val="1"/>
        </w:numPr>
        <w:spacing w:line="360" w:lineRule="auto"/>
        <w:jc w:val="center"/>
        <w:rPr>
          <w:rFonts w:ascii="Times New Roman" w:hAnsi="Times New Roman" w:cs="Times New Roman"/>
          <w:szCs w:val="22"/>
        </w:rPr>
      </w:pPr>
      <w:r>
        <w:rPr>
          <w:rFonts w:ascii="Times New Roman" w:hAnsi="Times New Roman" w:cs="Times New Roman"/>
          <w:szCs w:val="22"/>
        </w:rPr>
        <w:t>Thailand Cusum dan Cusumq</w:t>
      </w:r>
    </w:p>
    <w:p>
      <w:pPr>
        <w:ind w:left="426" w:hanging="426"/>
        <w:jc w:val="both"/>
        <w:rPr>
          <w:rFonts w:ascii="Times New Roman" w:hAnsi="Times New Roman" w:cs="Times New Roman"/>
          <w:b/>
          <w:color w:val="000000" w:themeColor="text1"/>
          <w:szCs w:val="18"/>
          <w:lang w:val="en-US"/>
        </w:rPr>
      </w:pPr>
      <w:r>
        <w:rPr>
          <w:rFonts w:ascii="Times New Roman" w:hAnsi="Times New Roman" w:cs="Times New Roman"/>
          <w:b/>
          <w:color w:val="000000" w:themeColor="text1"/>
          <w:szCs w:val="18"/>
        </w:rPr>
        <w:t>Conclusion</w:t>
      </w:r>
      <w:r>
        <w:rPr>
          <w:rFonts w:ascii="Times New Roman" w:hAnsi="Times New Roman" w:cs="Times New Roman"/>
          <w:b/>
          <w:color w:val="000000" w:themeColor="text1"/>
          <w:szCs w:val="18"/>
          <w:lang w:val="en-US"/>
        </w:rPr>
        <w:t xml:space="preserve"> And Suggestion</w:t>
      </w:r>
    </w:p>
    <w:p>
      <w:pPr>
        <w:spacing w:line="360" w:lineRule="auto"/>
        <w:ind w:firstLine="72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The effect of macroeconomic variables on stock prices is much debated. Research on this issue in countries that using the IMF classification is still limited. Given the similarity of macroeconomic  characteristic in ASEAN-4 countries namely Philippines, Malaysia, Indonesia, and Thailand also resulted similar findings around causality the macroeconomic variable and stock prices. In addition to short and long-term cointegration for all ASEAN-4 countries, exchange rates and GDP in the long run strongly indicate a significant effect on stock prices.While other macroeconomic variables such as inflation, current accounts and GDP do not show strong evidence to influence the stock price formation. By applying the "one to one" scheme, inflation, current accounts, and interest rates concluded play a small role among other macroeconomic variables. The very small contribution is an initial indication of the failure of some macroeconomic variables in explaining the force of the capital market. The important question now: do we excessively to modeled the capital markets through many macroeconomic forces?, or do we have to go back to CAPM?.</w:t>
      </w:r>
    </w:p>
    <w:p>
      <w:pPr>
        <w:spacing w:line="360" w:lineRule="auto"/>
        <w:jc w:val="both"/>
        <w:rPr>
          <w:rFonts w:ascii="Times New Roman" w:hAnsi="Times New Roman" w:cs="Times New Roman"/>
          <w:b/>
          <w:color w:val="000000" w:themeColor="text1"/>
          <w:szCs w:val="22"/>
        </w:rPr>
      </w:pPr>
      <w:r>
        <w:rPr>
          <w:rFonts w:ascii="Times New Roman" w:hAnsi="Times New Roman" w:cs="Times New Roman"/>
          <w:b/>
          <w:color w:val="000000" w:themeColor="text1"/>
          <w:szCs w:val="22"/>
        </w:rPr>
        <w:t>Reference</w:t>
      </w:r>
    </w:p>
    <w:p>
      <w:pPr>
        <w:ind w:left="567" w:hanging="567"/>
        <w:jc w:val="both"/>
        <w:rPr>
          <w:rFonts w:ascii="Times New Roman" w:hAnsi="Times New Roman" w:cs="Times New Roman"/>
          <w:szCs w:val="22"/>
        </w:rPr>
      </w:pPr>
      <w:r>
        <w:rPr>
          <w:rFonts w:ascii="Times New Roman" w:hAnsi="Times New Roman" w:cs="Times New Roman"/>
          <w:szCs w:val="22"/>
        </w:rPr>
        <w:t xml:space="preserve">Bahloul, Slah, Mourad Mroua, and Nader Naifar, 2017. “The Impact of Macroeconomic and Conventional Stock Market Variables on Islamic Index Return under Regime Switching”, </w:t>
      </w:r>
      <w:r>
        <w:rPr>
          <w:rFonts w:ascii="Times New Roman" w:hAnsi="Times New Roman" w:cs="Times New Roman"/>
          <w:i/>
          <w:szCs w:val="22"/>
        </w:rPr>
        <w:t>Borsa Istanbul Review</w:t>
      </w:r>
      <w:r>
        <w:rPr>
          <w:rFonts w:ascii="Times New Roman" w:hAnsi="Times New Roman" w:cs="Times New Roman"/>
          <w:szCs w:val="22"/>
        </w:rPr>
        <w:t>, 17-1: 62-74.</w:t>
      </w:r>
    </w:p>
    <w:p>
      <w:pPr>
        <w:ind w:left="567" w:hanging="567"/>
        <w:jc w:val="both"/>
        <w:rPr>
          <w:rFonts w:ascii="Times New Roman" w:hAnsi="Times New Roman" w:cs="Times New Roman"/>
          <w:szCs w:val="22"/>
        </w:rPr>
      </w:pPr>
      <w:r>
        <w:rPr>
          <w:rFonts w:ascii="Times New Roman" w:hAnsi="Times New Roman" w:cs="Times New Roman"/>
          <w:szCs w:val="22"/>
        </w:rPr>
        <w:t xml:space="preserve">Belgacem, Aymen, 2013. “Explaining the Stock Market’s Reaction to Macroeconomic Announcements”, retrieved from </w:t>
      </w:r>
      <w:r>
        <w:fldChar w:fldCharType="begin"/>
      </w:r>
      <w:r>
        <w:instrText xml:space="preserve"> HYPERLINK "https://halshs.archieve-ouvertes.fr/halshs-01064891,%20accessed" </w:instrText>
      </w:r>
      <w:r>
        <w:fldChar w:fldCharType="separate"/>
      </w:r>
      <w:r>
        <w:rPr>
          <w:rStyle w:val="6"/>
          <w:rFonts w:ascii="Times New Roman" w:hAnsi="Times New Roman" w:cs="Times New Roman"/>
          <w:szCs w:val="22"/>
        </w:rPr>
        <w:t>https://halshs.archieve-ouvertes.fr/halshs-01064891, accessed</w:t>
      </w:r>
      <w:r>
        <w:rPr>
          <w:rStyle w:val="6"/>
          <w:rFonts w:ascii="Times New Roman" w:hAnsi="Times New Roman" w:cs="Times New Roman"/>
          <w:szCs w:val="22"/>
        </w:rPr>
        <w:fldChar w:fldCharType="end"/>
      </w:r>
      <w:r>
        <w:rPr>
          <w:rFonts w:ascii="Times New Roman" w:hAnsi="Times New Roman" w:cs="Times New Roman"/>
          <w:szCs w:val="22"/>
        </w:rPr>
        <w:t xml:space="preserve"> on 28 April 2018.</w:t>
      </w:r>
    </w:p>
    <w:p>
      <w:pPr>
        <w:ind w:left="567" w:hanging="567"/>
        <w:jc w:val="both"/>
        <w:rPr>
          <w:rFonts w:ascii="Times New Roman" w:hAnsi="Times New Roman" w:cs="Times New Roman"/>
          <w:szCs w:val="22"/>
        </w:rPr>
      </w:pPr>
      <w:r>
        <w:rPr>
          <w:rFonts w:ascii="Times New Roman" w:hAnsi="Times New Roman" w:cs="Times New Roman"/>
          <w:szCs w:val="22"/>
        </w:rPr>
        <w:t xml:space="preserve">Brandt, Patrick T., and John T., Williams, 2007. </w:t>
      </w:r>
      <w:r>
        <w:rPr>
          <w:rFonts w:ascii="Times New Roman" w:hAnsi="Times New Roman" w:cs="Times New Roman"/>
          <w:i/>
          <w:szCs w:val="22"/>
        </w:rPr>
        <w:t>Multiple Time Series Models: Quantitative Applications in The Social Science</w:t>
      </w:r>
      <w:r>
        <w:rPr>
          <w:rFonts w:ascii="Times New Roman" w:hAnsi="Times New Roman" w:cs="Times New Roman"/>
          <w:szCs w:val="22"/>
        </w:rPr>
        <w:t xml:space="preserve">, Sage Publication.Inc, California. </w:t>
      </w:r>
    </w:p>
    <w:p>
      <w:pPr>
        <w:ind w:left="567" w:hanging="567"/>
        <w:jc w:val="both"/>
        <w:rPr>
          <w:rFonts w:ascii="Times New Roman" w:hAnsi="Times New Roman" w:cs="Times New Roman"/>
          <w:szCs w:val="22"/>
        </w:rPr>
      </w:pPr>
      <w:r>
        <w:rPr>
          <w:rFonts w:ascii="Times New Roman" w:hAnsi="Times New Roman" w:cs="Times New Roman"/>
          <w:szCs w:val="22"/>
        </w:rPr>
        <w:t xml:space="preserve">Chen, Nai-Fu, Richard Roll, and Stephen A. Ross, 1986. “Economic Force and the Stock Market”, </w:t>
      </w:r>
      <w:r>
        <w:rPr>
          <w:rFonts w:ascii="Times New Roman" w:hAnsi="Times New Roman" w:cs="Times New Roman"/>
          <w:i/>
          <w:szCs w:val="22"/>
        </w:rPr>
        <w:t>The Journal of Business</w:t>
      </w:r>
      <w:r>
        <w:rPr>
          <w:rFonts w:ascii="Times New Roman" w:hAnsi="Times New Roman" w:cs="Times New Roman"/>
          <w:szCs w:val="22"/>
        </w:rPr>
        <w:t>, 59 (3): 383-403.</w:t>
      </w:r>
    </w:p>
    <w:p>
      <w:pPr>
        <w:ind w:left="567" w:hanging="567"/>
        <w:jc w:val="both"/>
        <w:rPr>
          <w:rFonts w:ascii="Times New Roman" w:hAnsi="Times New Roman" w:cs="Times New Roman"/>
          <w:szCs w:val="22"/>
        </w:rPr>
      </w:pPr>
      <w:r>
        <w:rPr>
          <w:rFonts w:ascii="Times New Roman" w:hAnsi="Times New Roman" w:cs="Times New Roman"/>
          <w:szCs w:val="22"/>
        </w:rPr>
        <w:t>Huberman, Gur, and Zhenyu Wang, 2015. “Arbitrage Pricing Theory”, The New Palgrave Dictionary of Economics, 2nd Edition, S. N. Durlauf and L. E. Blume (eds), Palgrave Macmillan.</w:t>
      </w:r>
    </w:p>
    <w:p>
      <w:pPr>
        <w:ind w:left="567" w:hanging="567"/>
        <w:jc w:val="both"/>
        <w:rPr>
          <w:rFonts w:ascii="Times New Roman" w:hAnsi="Times New Roman" w:cs="Times New Roman"/>
          <w:szCs w:val="22"/>
        </w:rPr>
      </w:pPr>
      <w:r>
        <w:rPr>
          <w:rFonts w:ascii="Times New Roman" w:hAnsi="Times New Roman" w:cs="Times New Roman"/>
          <w:szCs w:val="22"/>
        </w:rPr>
        <w:t xml:space="preserve">Ouma, Wycliffe Nduga, and Peter Muriu, 2014. “The Impact of Macroeconomic Variables on Stock Market Returns in Kenya”, </w:t>
      </w:r>
      <w:r>
        <w:rPr>
          <w:rFonts w:ascii="Times New Roman" w:hAnsi="Times New Roman" w:cs="Times New Roman"/>
          <w:i/>
          <w:szCs w:val="22"/>
        </w:rPr>
        <w:t>International Journalof Business and Commerce</w:t>
      </w:r>
      <w:r>
        <w:rPr>
          <w:rFonts w:ascii="Times New Roman" w:hAnsi="Times New Roman" w:cs="Times New Roman"/>
          <w:szCs w:val="22"/>
        </w:rPr>
        <w:t>, 3 (11): 1-31.</w:t>
      </w:r>
    </w:p>
    <w:p>
      <w:pPr>
        <w:ind w:left="567" w:hanging="567"/>
        <w:jc w:val="both"/>
        <w:rPr>
          <w:rFonts w:ascii="Times New Roman" w:hAnsi="Times New Roman" w:cs="Times New Roman"/>
          <w:szCs w:val="22"/>
        </w:rPr>
      </w:pPr>
      <w:r>
        <w:rPr>
          <w:rFonts w:ascii="Times New Roman" w:hAnsi="Times New Roman" w:cs="Times New Roman"/>
          <w:szCs w:val="22"/>
        </w:rPr>
        <w:t xml:space="preserve">Parsva, Parham, and Chor Foon Tang, 2017. “A Note on Interaction between Stock Price and Exchange Rate in Middle-East Economies”, </w:t>
      </w:r>
      <w:r>
        <w:rPr>
          <w:rFonts w:ascii="Times New Roman" w:hAnsi="Times New Roman" w:cs="Times New Roman"/>
          <w:i/>
          <w:szCs w:val="22"/>
        </w:rPr>
        <w:t>Economic Research-Ekonomska Istrazivanja</w:t>
      </w:r>
      <w:r>
        <w:rPr>
          <w:rFonts w:ascii="Times New Roman" w:hAnsi="Times New Roman" w:cs="Times New Roman"/>
          <w:szCs w:val="22"/>
        </w:rPr>
        <w:t>, 30 (1): 838-844.</w:t>
      </w:r>
    </w:p>
    <w:p>
      <w:pPr>
        <w:ind w:left="567" w:hanging="567"/>
        <w:jc w:val="both"/>
        <w:rPr>
          <w:rFonts w:ascii="Times New Roman" w:hAnsi="Times New Roman" w:cs="Times New Roman"/>
          <w:szCs w:val="22"/>
        </w:rPr>
      </w:pPr>
      <w:r>
        <w:rPr>
          <w:rFonts w:ascii="Times New Roman" w:hAnsi="Times New Roman" w:cs="Times New Roman"/>
          <w:szCs w:val="22"/>
        </w:rPr>
        <w:t xml:space="preserve">Patel, Samveg, 2012. “The Effect of Macroeconomic Determinants on the Performance of the Indian Stock Market”, </w:t>
      </w:r>
      <w:r>
        <w:rPr>
          <w:rFonts w:ascii="Times New Roman" w:hAnsi="Times New Roman" w:cs="Times New Roman"/>
          <w:i/>
          <w:szCs w:val="22"/>
        </w:rPr>
        <w:t>NMIMS Management Review</w:t>
      </w:r>
      <w:r>
        <w:rPr>
          <w:rFonts w:ascii="Times New Roman" w:hAnsi="Times New Roman" w:cs="Times New Roman"/>
          <w:szCs w:val="22"/>
        </w:rPr>
        <w:t>, 22: 117-127.</w:t>
      </w:r>
    </w:p>
    <w:p>
      <w:pPr>
        <w:ind w:left="567" w:hanging="567"/>
        <w:jc w:val="both"/>
        <w:rPr>
          <w:rFonts w:ascii="Times New Roman" w:hAnsi="Times New Roman" w:cs="Times New Roman"/>
          <w:szCs w:val="22"/>
        </w:rPr>
      </w:pPr>
      <w:r>
        <w:rPr>
          <w:rFonts w:ascii="Times New Roman" w:hAnsi="Times New Roman" w:cs="Times New Roman"/>
          <w:szCs w:val="22"/>
        </w:rPr>
        <w:t xml:space="preserve">Pesaran, M. H, Yongcheol Shin, and Richard J. Smith, 2001. “Bounds Testing Approaches to the Analysis of Level Relationship”, </w:t>
      </w:r>
      <w:r>
        <w:rPr>
          <w:rFonts w:ascii="Times New Roman" w:hAnsi="Times New Roman" w:cs="Times New Roman"/>
          <w:i/>
          <w:szCs w:val="22"/>
        </w:rPr>
        <w:t>Journal of Applied Econometrics</w:t>
      </w:r>
      <w:r>
        <w:rPr>
          <w:rFonts w:ascii="Times New Roman" w:hAnsi="Times New Roman" w:cs="Times New Roman"/>
          <w:szCs w:val="22"/>
        </w:rPr>
        <w:t>, 16: 289-326.</w:t>
      </w:r>
    </w:p>
    <w:p>
      <w:pPr>
        <w:ind w:left="567" w:hanging="567"/>
        <w:jc w:val="both"/>
        <w:rPr>
          <w:rFonts w:ascii="Times New Roman" w:hAnsi="Times New Roman" w:cs="Times New Roman"/>
          <w:szCs w:val="22"/>
        </w:rPr>
      </w:pPr>
      <w:r>
        <w:rPr>
          <w:rFonts w:ascii="Times New Roman" w:hAnsi="Times New Roman" w:cs="Times New Roman"/>
          <w:szCs w:val="22"/>
        </w:rPr>
        <w:t xml:space="preserve">Pilinkus, Donatas, 2011. “Macroeconomic Indicators and Their Impact on Stock Market Performance in the Short and Long Run: The Case of the Baltic States”. </w:t>
      </w:r>
      <w:r>
        <w:rPr>
          <w:rFonts w:ascii="Times New Roman" w:hAnsi="Times New Roman" w:cs="Times New Roman"/>
          <w:i/>
          <w:szCs w:val="22"/>
        </w:rPr>
        <w:t>Technological and Economic Development of Economy</w:t>
      </w:r>
      <w:r>
        <w:rPr>
          <w:rFonts w:ascii="Times New Roman" w:hAnsi="Times New Roman" w:cs="Times New Roman"/>
          <w:szCs w:val="22"/>
        </w:rPr>
        <w:t>, 16 (2): 291-304.</w:t>
      </w:r>
    </w:p>
    <w:p>
      <w:pPr>
        <w:ind w:left="567" w:hanging="567"/>
        <w:jc w:val="both"/>
        <w:rPr>
          <w:rFonts w:ascii="Times New Roman" w:hAnsi="Times New Roman" w:cs="Times New Roman"/>
          <w:szCs w:val="22"/>
        </w:rPr>
      </w:pPr>
      <w:r>
        <w:rPr>
          <w:rFonts w:ascii="Times New Roman" w:hAnsi="Times New Roman" w:cs="Times New Roman"/>
          <w:szCs w:val="22"/>
        </w:rPr>
        <w:t xml:space="preserve">Quadir, Muhammed Monjurul, 2012. “The Effect of Macroeconomic Variables on Stock Returns on Dhaka Stock Exchange”, </w:t>
      </w:r>
      <w:r>
        <w:rPr>
          <w:rFonts w:ascii="Times New Roman" w:hAnsi="Times New Roman" w:cs="Times New Roman"/>
          <w:i/>
          <w:szCs w:val="22"/>
        </w:rPr>
        <w:t>International Journal of Economics and Financial Issues</w:t>
      </w:r>
      <w:r>
        <w:rPr>
          <w:rFonts w:ascii="Times New Roman" w:hAnsi="Times New Roman" w:cs="Times New Roman"/>
          <w:szCs w:val="22"/>
        </w:rPr>
        <w:t xml:space="preserve">, 2 (4): 480-487. </w:t>
      </w:r>
    </w:p>
    <w:p>
      <w:pPr>
        <w:ind w:left="567" w:hanging="567"/>
        <w:jc w:val="both"/>
        <w:rPr>
          <w:rFonts w:ascii="Times New Roman" w:hAnsi="Times New Roman" w:cs="Times New Roman"/>
          <w:szCs w:val="22"/>
        </w:rPr>
      </w:pPr>
      <w:r>
        <w:rPr>
          <w:rFonts w:ascii="Times New Roman" w:hAnsi="Times New Roman" w:cs="Times New Roman"/>
          <w:szCs w:val="22"/>
        </w:rPr>
        <w:t xml:space="preserve">Rahman, Md. Lutfur, and Jashim Uddin, 2009. “Dynamic Relationship between Stock Price and Exchange Rates: Evidence from Three South Asian Countries”, </w:t>
      </w:r>
      <w:r>
        <w:rPr>
          <w:rFonts w:ascii="Times New Roman" w:hAnsi="Times New Roman" w:cs="Times New Roman"/>
          <w:i/>
          <w:szCs w:val="22"/>
        </w:rPr>
        <w:t>International Business Research</w:t>
      </w:r>
      <w:r>
        <w:rPr>
          <w:rFonts w:ascii="Times New Roman" w:hAnsi="Times New Roman" w:cs="Times New Roman"/>
          <w:szCs w:val="22"/>
        </w:rPr>
        <w:t>, 2 (2): 167-174.</w:t>
      </w:r>
    </w:p>
    <w:p>
      <w:pPr>
        <w:ind w:left="567" w:hanging="567"/>
        <w:jc w:val="both"/>
        <w:rPr>
          <w:rFonts w:ascii="Times New Roman" w:hAnsi="Times New Roman" w:cs="Times New Roman"/>
          <w:szCs w:val="22"/>
        </w:rPr>
      </w:pPr>
      <w:r>
        <w:rPr>
          <w:rFonts w:ascii="Times New Roman" w:hAnsi="Times New Roman" w:cs="Times New Roman"/>
          <w:szCs w:val="22"/>
        </w:rPr>
        <w:t xml:space="preserve">Rasiah, Devinaga, and PeongKwee Kim, 2011. “The Effectiveness of Arbitrage Pricing Model in Modern Financial Theory”, </w:t>
      </w:r>
      <w:r>
        <w:rPr>
          <w:rFonts w:ascii="Times New Roman" w:hAnsi="Times New Roman" w:cs="Times New Roman"/>
          <w:i/>
          <w:szCs w:val="22"/>
        </w:rPr>
        <w:t>International Journal Economics and Research</w:t>
      </w:r>
      <w:r>
        <w:rPr>
          <w:rFonts w:ascii="Times New Roman" w:hAnsi="Times New Roman" w:cs="Times New Roman"/>
          <w:szCs w:val="22"/>
        </w:rPr>
        <w:t xml:space="preserve">, 2(3): 125-135. </w:t>
      </w:r>
    </w:p>
    <w:p>
      <w:pPr>
        <w:ind w:left="567" w:hanging="567"/>
        <w:jc w:val="both"/>
        <w:rPr>
          <w:rFonts w:ascii="Times New Roman" w:hAnsi="Times New Roman" w:cs="Times New Roman"/>
          <w:szCs w:val="22"/>
        </w:rPr>
      </w:pPr>
      <w:r>
        <w:rPr>
          <w:rFonts w:ascii="Times New Roman" w:hAnsi="Times New Roman" w:cs="Times New Roman"/>
          <w:szCs w:val="22"/>
        </w:rPr>
        <w:t xml:space="preserve">Reza, Faizal, Adisthy Shabrina M., and Danna Solihin, 2018. “Is Arbitrage Pricing Theory Is a Fairy Tale ?: The Evidence From Indonesia with Ordinary Least Square Estimation”, </w:t>
      </w:r>
      <w:r>
        <w:rPr>
          <w:rFonts w:ascii="Times New Roman" w:hAnsi="Times New Roman" w:cs="Times New Roman"/>
          <w:i/>
          <w:szCs w:val="22"/>
        </w:rPr>
        <w:t>Research Journal of Accounting and Business Management</w:t>
      </w:r>
      <w:r>
        <w:rPr>
          <w:rFonts w:ascii="Times New Roman" w:hAnsi="Times New Roman" w:cs="Times New Roman"/>
          <w:szCs w:val="22"/>
        </w:rPr>
        <w:t>, 2 (1): 18-31.</w:t>
      </w:r>
    </w:p>
    <w:p>
      <w:pPr>
        <w:ind w:left="567" w:hanging="567"/>
        <w:jc w:val="both"/>
        <w:rPr>
          <w:rFonts w:ascii="Times New Roman" w:hAnsi="Times New Roman" w:cs="Times New Roman"/>
          <w:szCs w:val="22"/>
        </w:rPr>
      </w:pPr>
      <w:r>
        <w:rPr>
          <w:rFonts w:ascii="Times New Roman" w:hAnsi="Times New Roman" w:cs="Times New Roman"/>
          <w:szCs w:val="22"/>
        </w:rPr>
        <w:t xml:space="preserve">Sharma, Gagan Deep, and Mandeep Mahendru, 2010. “Impact of Macro-Economic Variableson Stock Price in India”, </w:t>
      </w:r>
      <w:r>
        <w:rPr>
          <w:rFonts w:ascii="Times New Roman" w:hAnsi="Times New Roman" w:cs="Times New Roman"/>
          <w:i/>
          <w:szCs w:val="22"/>
        </w:rPr>
        <w:t>Global Journal of Management and Business Research</w:t>
      </w:r>
      <w:r>
        <w:rPr>
          <w:rFonts w:ascii="Times New Roman" w:hAnsi="Times New Roman" w:cs="Times New Roman"/>
          <w:szCs w:val="22"/>
        </w:rPr>
        <w:t>, 10 (7): 19-26.</w:t>
      </w:r>
    </w:p>
    <w:p>
      <w:pPr>
        <w:ind w:left="567" w:hanging="567"/>
        <w:jc w:val="both"/>
        <w:rPr>
          <w:rFonts w:ascii="Times New Roman" w:hAnsi="Times New Roman" w:cs="Times New Roman"/>
          <w:szCs w:val="22"/>
        </w:rPr>
      </w:pPr>
      <w:r>
        <w:rPr>
          <w:rFonts w:ascii="Times New Roman" w:hAnsi="Times New Roman" w:cs="Times New Roman"/>
          <w:szCs w:val="22"/>
        </w:rPr>
        <w:t xml:space="preserve">Umoru, David, and Mike O. Asekome, 2013. “Stock Price and Exchange Rate Variability in Nigeria Econometric Analysis of the Evidence”, </w:t>
      </w:r>
      <w:r>
        <w:rPr>
          <w:rFonts w:ascii="Times New Roman" w:hAnsi="Times New Roman" w:cs="Times New Roman"/>
          <w:i/>
          <w:szCs w:val="22"/>
        </w:rPr>
        <w:t>European Scientific Journal</w:t>
      </w:r>
      <w:r>
        <w:rPr>
          <w:rFonts w:ascii="Times New Roman" w:hAnsi="Times New Roman" w:cs="Times New Roman"/>
          <w:szCs w:val="22"/>
        </w:rPr>
        <w:t>, 9 (25): 261-285.</w:t>
      </w:r>
    </w:p>
    <w:p>
      <w:pPr>
        <w:ind w:left="567" w:hanging="567"/>
        <w:jc w:val="both"/>
        <w:rPr>
          <w:rFonts w:ascii="Times New Roman" w:hAnsi="Times New Roman" w:cs="Times New Roman"/>
          <w:szCs w:val="22"/>
        </w:rPr>
      </w:pPr>
      <w:r>
        <w:rPr>
          <w:rFonts w:ascii="Times New Roman" w:hAnsi="Times New Roman" w:cs="Times New Roman"/>
          <w:szCs w:val="22"/>
        </w:rPr>
        <w:t xml:space="preserve">Wickremasinghe, G., B., 2006. “Macroeconomic Forces and Stock Price: Some Empirical Evidence from an Emerging Stock Market”, </w:t>
      </w:r>
      <w:r>
        <w:rPr>
          <w:rFonts w:ascii="Times New Roman" w:hAnsi="Times New Roman" w:cs="Times New Roman"/>
          <w:i/>
          <w:szCs w:val="22"/>
        </w:rPr>
        <w:t>Accountingand Finance Working Paper 06/14</w:t>
      </w:r>
      <w:r>
        <w:rPr>
          <w:rFonts w:ascii="Times New Roman" w:hAnsi="Times New Roman" w:cs="Times New Roman"/>
          <w:szCs w:val="22"/>
        </w:rPr>
        <w:t>.</w:t>
      </w:r>
    </w:p>
    <w:p>
      <w:pPr>
        <w:ind w:left="567" w:hanging="567"/>
        <w:jc w:val="both"/>
        <w:rPr>
          <w:rFonts w:ascii="Times New Roman" w:hAnsi="Times New Roman" w:cs="Times New Roman"/>
          <w:szCs w:val="22"/>
        </w:rPr>
      </w:pPr>
      <w:r>
        <w:rPr>
          <w:rFonts w:ascii="Times New Roman" w:hAnsi="Times New Roman" w:cs="Times New Roman"/>
          <w:szCs w:val="22"/>
        </w:rPr>
        <w:t xml:space="preserve">Yau, Hwey-Yun, and Chien-Chung Nieh, 2008. “Testing for Cointegration with Threshold Effect between Stock Price and Exchange Rates in Japan and Taiwan”, </w:t>
      </w:r>
      <w:r>
        <w:rPr>
          <w:rFonts w:ascii="Times New Roman" w:hAnsi="Times New Roman" w:cs="Times New Roman"/>
          <w:i/>
          <w:szCs w:val="22"/>
        </w:rPr>
        <w:t>Japan and the World Economy</w:t>
      </w:r>
      <w:r>
        <w:rPr>
          <w:rFonts w:ascii="Times New Roman" w:hAnsi="Times New Roman" w:cs="Times New Roman"/>
          <w:szCs w:val="22"/>
        </w:rPr>
        <w:t>, 21: 292-300.</w:t>
      </w:r>
    </w:p>
    <w:p>
      <w:pPr>
        <w:ind w:left="567" w:hanging="567"/>
        <w:jc w:val="both"/>
        <w:rPr>
          <w:rFonts w:ascii="Times New Roman" w:hAnsi="Times New Roman" w:cs="Times New Roman"/>
          <w:szCs w:val="22"/>
        </w:rPr>
      </w:pPr>
      <w:r>
        <w:rPr>
          <w:rFonts w:ascii="Times New Roman" w:hAnsi="Times New Roman" w:cs="Times New Roman"/>
          <w:szCs w:val="22"/>
        </w:rPr>
        <w:t xml:space="preserve">Zubair, Abdulrasheed, 2013. “Causal Relationship between Stock Market Index and Exchange Rate: Evidence from Nigeria”, </w:t>
      </w:r>
      <w:r>
        <w:rPr>
          <w:rFonts w:ascii="Times New Roman" w:hAnsi="Times New Roman" w:cs="Times New Roman"/>
          <w:i/>
          <w:szCs w:val="22"/>
        </w:rPr>
        <w:t>CBN Journal of Applied Statistics</w:t>
      </w:r>
      <w:r>
        <w:rPr>
          <w:rFonts w:ascii="Times New Roman" w:hAnsi="Times New Roman" w:cs="Times New Roman"/>
          <w:szCs w:val="22"/>
        </w:rPr>
        <w:t>, 4 (2): 87-110.</w:t>
      </w:r>
    </w:p>
    <w:p>
      <w:pPr>
        <w:spacing w:line="360" w:lineRule="auto"/>
        <w:ind w:firstLine="720"/>
        <w:jc w:val="both"/>
        <w:rPr>
          <w:rFonts w:ascii="Times New Roman" w:hAnsi="Times New Roman" w:cs="Times New Roman"/>
          <w:color w:val="000000" w:themeColor="text1"/>
          <w:szCs w:val="22"/>
        </w:rPr>
      </w:pPr>
    </w:p>
    <w:p>
      <w:pPr>
        <w:spacing w:line="360" w:lineRule="auto"/>
        <w:jc w:val="both"/>
        <w:rPr>
          <w:rFonts w:ascii="Times New Roman" w:hAnsi="Times New Roman" w:cs="Times New Roman"/>
          <w:color w:val="000000" w:themeColor="text1"/>
        </w:rPr>
      </w:pPr>
    </w:p>
    <w:p>
      <w:pPr>
        <w:spacing w:line="360" w:lineRule="auto"/>
        <w:ind w:firstLine="720"/>
        <w:jc w:val="both"/>
        <w:rPr>
          <w:rFonts w:ascii="Times New Roman" w:hAnsi="Times New Roman" w:cs="Times New Roman"/>
          <w:color w:val="000000" w:themeColor="text1"/>
        </w:rPr>
      </w:pPr>
    </w:p>
    <w:p>
      <w:pPr>
        <w:spacing w:line="360" w:lineRule="auto"/>
        <w:ind w:firstLine="720"/>
        <w:jc w:val="both"/>
        <w:rPr>
          <w:rFonts w:ascii="Times New Roman" w:hAnsi="Times New Roman" w:cs="Times New Roman"/>
          <w:color w:val="000000" w:themeColor="text1"/>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JhengHei UI Light">
    <w:panose1 w:val="020B0304030504040204"/>
    <w:charset w:val="88"/>
    <w:family w:val="swiss"/>
    <w:pitch w:val="default"/>
    <w:sig w:usb0="800002A7" w:usb1="28CF4400" w:usb2="00000016" w:usb3="00000000" w:csb0="00100009"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E1DDF"/>
    <w:multiLevelType w:val="multilevel"/>
    <w:tmpl w:val="789E1DDF"/>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characterSpacingControl w:val="doNotCompress"/>
  <w:compat>
    <w:compatSetting w:name="compatibilityMode" w:uri="http://schemas.microsoft.com/office/word" w:val="12"/>
  </w:compat>
  <w:rsids>
    <w:rsidRoot w:val="00E62C82"/>
    <w:rsid w:val="001206FC"/>
    <w:rsid w:val="00125502"/>
    <w:rsid w:val="00127F6B"/>
    <w:rsid w:val="0021568D"/>
    <w:rsid w:val="003B2C51"/>
    <w:rsid w:val="003E08CA"/>
    <w:rsid w:val="004B68CF"/>
    <w:rsid w:val="004F62E4"/>
    <w:rsid w:val="00590483"/>
    <w:rsid w:val="0060470F"/>
    <w:rsid w:val="00607459"/>
    <w:rsid w:val="00706B0D"/>
    <w:rsid w:val="00741861"/>
    <w:rsid w:val="007F5EED"/>
    <w:rsid w:val="008F7580"/>
    <w:rsid w:val="00974940"/>
    <w:rsid w:val="009E06D5"/>
    <w:rsid w:val="00B325C8"/>
    <w:rsid w:val="00BC1B65"/>
    <w:rsid w:val="00BD618D"/>
    <w:rsid w:val="00CC1D85"/>
    <w:rsid w:val="00D16BC0"/>
    <w:rsid w:val="00D2553A"/>
    <w:rsid w:val="00DA796A"/>
    <w:rsid w:val="00E573C4"/>
    <w:rsid w:val="00E62C82"/>
    <w:rsid w:val="00EB0475"/>
    <w:rsid w:val="00EF3690"/>
    <w:rsid w:val="032824DC"/>
    <w:rsid w:val="222B716F"/>
    <w:rsid w:val="6702102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 4"/>
        <o:r id="V:Rule2" type="connector" idref="# -20"/>
        <o:r id="V:Rule3" type="connector" idref="#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after="200" w:line="276" w:lineRule="auto"/>
    </w:pPr>
    <w:rPr>
      <w:rFonts w:ascii="Calibri" w:hAnsi="Calibri" w:eastAsia="Calibri" w:cs="Calibri"/>
      <w:sz w:val="22"/>
      <w:lang w:val="id-ID" w:eastAsia="en-US"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annotation text"/>
    <w:basedOn w:val="1"/>
    <w:semiHidden/>
    <w:unhideWhenUsed/>
    <w:uiPriority w:val="99"/>
  </w:style>
  <w:style w:type="character" w:styleId="5">
    <w:name w:val="annotation reference"/>
    <w:basedOn w:val="4"/>
    <w:semiHidden/>
    <w:unhideWhenUsed/>
    <w:uiPriority w:val="99"/>
    <w:rPr>
      <w:sz w:val="16"/>
      <w:szCs w:val="16"/>
    </w:rPr>
  </w:style>
  <w:style w:type="character" w:styleId="6">
    <w:name w:val="Hyperlink"/>
    <w:basedOn w:val="4"/>
    <w:unhideWhenUsed/>
    <w:uiPriority w:val="99"/>
    <w:rPr>
      <w:color w:val="0000FF" w:themeColor="hyperlink"/>
      <w:u w:val="single"/>
    </w:rPr>
  </w:style>
  <w:style w:type="paragraph" w:styleId="8">
    <w:name w:val="List Paragraph"/>
    <w:basedOn w:val="1"/>
    <w:qFormat/>
    <w:uiPriority w:val="34"/>
    <w:pPr>
      <w:ind w:left="720"/>
      <w:contextualSpacing/>
    </w:pPr>
  </w:style>
  <w:style w:type="character" w:customStyle="1" w:styleId="9">
    <w:name w:val="Balloon Text Char"/>
    <w:basedOn w:val="4"/>
    <w:link w:val="2"/>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4900</Words>
  <Characters>28271</Characters>
  <Lines>235</Lines>
  <Paragraphs>66</Paragraphs>
  <TotalTime>0</TotalTime>
  <ScaleCrop>false</ScaleCrop>
  <LinksUpToDate>false</LinksUpToDate>
  <CharactersWithSpaces>33105</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2018-07-07T02:34:00Z</dcterms:created>
  <dc:creator>CLIENT02</dc:creator>
  <cp:lastModifiedBy>DELL</cp:lastModifiedBy>
  <dcterms:modified xsi:type="dcterms:W3CDTF">2019-02-08T03:33:57Z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