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52A64" w14:textId="77777777" w:rsidR="00B20523" w:rsidRPr="005C446D" w:rsidRDefault="00B20523" w:rsidP="00B20523">
      <w:pPr>
        <w:jc w:val="center"/>
        <w:rPr>
          <w:rFonts w:ascii="Times New Roman" w:hAnsi="Times New Roman"/>
          <w:b/>
          <w:color w:val="000000" w:themeColor="text1"/>
          <w:sz w:val="24"/>
          <w:szCs w:val="24"/>
        </w:rPr>
      </w:pPr>
      <w:r w:rsidRPr="005C446D">
        <w:rPr>
          <w:rFonts w:ascii="Times New Roman" w:hAnsi="Times New Roman"/>
          <w:b/>
          <w:color w:val="000000" w:themeColor="text1"/>
          <w:sz w:val="24"/>
          <w:szCs w:val="24"/>
        </w:rPr>
        <w:t>ANALYSIS UNIT COST IN MILD HEAD INJURY PATIENT WITH ACTIVITY BASED COSTING METHOD IN PANEMBAHAN SENOPATI BANTUL HOSPITAL</w:t>
      </w:r>
    </w:p>
    <w:p w14:paraId="5567FA32" w14:textId="77777777" w:rsidR="00B20523" w:rsidRPr="005C446D" w:rsidRDefault="00B20523" w:rsidP="00B20523">
      <w:pPr>
        <w:spacing w:line="282" w:lineRule="exact"/>
        <w:jc w:val="center"/>
        <w:rPr>
          <w:rFonts w:ascii="Times New Roman" w:eastAsia="Times New Roman" w:hAnsi="Times New Roman" w:cs="Times New Roman"/>
          <w:color w:val="000000" w:themeColor="text1"/>
          <w:sz w:val="24"/>
        </w:rPr>
      </w:pPr>
    </w:p>
    <w:p w14:paraId="10F62F07" w14:textId="77777777" w:rsidR="00B20523" w:rsidRPr="005C446D" w:rsidRDefault="00B20523" w:rsidP="00B20523">
      <w:pPr>
        <w:pStyle w:val="Default"/>
        <w:jc w:val="center"/>
        <w:rPr>
          <w:rFonts w:ascii="Times New Roman" w:hAnsi="Times New Roman"/>
          <w:color w:val="000000" w:themeColor="text1"/>
        </w:rPr>
      </w:pPr>
      <w:proofErr w:type="spellStart"/>
      <w:r w:rsidRPr="005C446D">
        <w:rPr>
          <w:rFonts w:ascii="Times New Roman" w:hAnsi="Times New Roman"/>
          <w:color w:val="000000" w:themeColor="text1"/>
        </w:rPr>
        <w:t>Sigit</w:t>
      </w:r>
      <w:proofErr w:type="spellEnd"/>
      <w:r w:rsidRPr="005C446D">
        <w:rPr>
          <w:rFonts w:ascii="Times New Roman" w:hAnsi="Times New Roman"/>
          <w:color w:val="000000" w:themeColor="text1"/>
        </w:rPr>
        <w:t xml:space="preserve"> </w:t>
      </w:r>
      <w:proofErr w:type="spellStart"/>
      <w:r w:rsidRPr="005C446D">
        <w:rPr>
          <w:rFonts w:ascii="Times New Roman" w:hAnsi="Times New Roman"/>
          <w:color w:val="000000" w:themeColor="text1"/>
        </w:rPr>
        <w:t>Kurniawan</w:t>
      </w:r>
      <w:proofErr w:type="spellEnd"/>
      <w:r w:rsidRPr="005C446D">
        <w:rPr>
          <w:rFonts w:ascii="Times New Roman" w:hAnsi="Times New Roman"/>
          <w:color w:val="000000" w:themeColor="text1"/>
        </w:rPr>
        <w:t xml:space="preserve"> </w:t>
      </w:r>
      <w:r w:rsidRPr="005C446D">
        <w:rPr>
          <w:rFonts w:ascii="Times New Roman" w:hAnsi="Times New Roman"/>
          <w:color w:val="000000" w:themeColor="text1"/>
          <w:vertAlign w:val="superscript"/>
        </w:rPr>
        <w:t>1</w:t>
      </w:r>
      <w:r w:rsidRPr="005C446D">
        <w:rPr>
          <w:rFonts w:ascii="Times New Roman" w:hAnsi="Times New Roman"/>
          <w:color w:val="000000" w:themeColor="text1"/>
        </w:rPr>
        <w:t xml:space="preserve">, </w:t>
      </w:r>
      <w:proofErr w:type="spellStart"/>
      <w:r w:rsidRPr="005C446D">
        <w:rPr>
          <w:rFonts w:ascii="Times New Roman" w:hAnsi="Times New Roman"/>
          <w:color w:val="000000" w:themeColor="text1"/>
        </w:rPr>
        <w:t>Firman</w:t>
      </w:r>
      <w:proofErr w:type="spellEnd"/>
      <w:r w:rsidRPr="005C446D">
        <w:rPr>
          <w:rFonts w:ascii="Times New Roman" w:hAnsi="Times New Roman"/>
          <w:color w:val="000000" w:themeColor="text1"/>
        </w:rPr>
        <w:t xml:space="preserve"> </w:t>
      </w:r>
      <w:proofErr w:type="spellStart"/>
      <w:r w:rsidRPr="005C446D">
        <w:rPr>
          <w:rFonts w:ascii="Times New Roman" w:hAnsi="Times New Roman"/>
          <w:color w:val="000000" w:themeColor="text1"/>
        </w:rPr>
        <w:t>Pribadi</w:t>
      </w:r>
      <w:proofErr w:type="spellEnd"/>
      <w:r w:rsidRPr="005C446D">
        <w:rPr>
          <w:rFonts w:ascii="Times New Roman" w:hAnsi="Times New Roman"/>
          <w:color w:val="000000" w:themeColor="text1"/>
        </w:rPr>
        <w:t xml:space="preserve"> </w:t>
      </w:r>
      <w:r w:rsidRPr="005C446D">
        <w:rPr>
          <w:rFonts w:ascii="Times New Roman" w:hAnsi="Times New Roman"/>
          <w:color w:val="000000" w:themeColor="text1"/>
          <w:vertAlign w:val="superscript"/>
        </w:rPr>
        <w:t>2</w:t>
      </w:r>
    </w:p>
    <w:p w14:paraId="4F76D15F" w14:textId="77777777" w:rsidR="00B20523" w:rsidRPr="005C446D" w:rsidRDefault="00B20523" w:rsidP="00B20523">
      <w:pPr>
        <w:pStyle w:val="Default"/>
        <w:jc w:val="center"/>
        <w:rPr>
          <w:rFonts w:ascii="Times New Roman" w:hAnsi="Times New Roman"/>
          <w:color w:val="000000" w:themeColor="text1"/>
        </w:rPr>
      </w:pPr>
      <w:r w:rsidRPr="005C446D">
        <w:rPr>
          <w:rFonts w:ascii="Times New Roman" w:hAnsi="Times New Roman"/>
          <w:color w:val="000000" w:themeColor="text1"/>
          <w:vertAlign w:val="superscript"/>
        </w:rPr>
        <w:t xml:space="preserve">1 </w:t>
      </w:r>
      <w:r w:rsidRPr="005C446D">
        <w:rPr>
          <w:rFonts w:ascii="Times New Roman" w:hAnsi="Times New Roman"/>
          <w:color w:val="000000" w:themeColor="text1"/>
        </w:rPr>
        <w:t xml:space="preserve">Student of Hospital Management Program, Postgraduate Program, </w:t>
      </w:r>
    </w:p>
    <w:p w14:paraId="1C4AFB56" w14:textId="77777777" w:rsidR="00B20523" w:rsidRPr="005C446D" w:rsidRDefault="00B20523" w:rsidP="00B20523">
      <w:pPr>
        <w:pStyle w:val="Default"/>
        <w:jc w:val="center"/>
        <w:rPr>
          <w:rFonts w:ascii="Times New Roman" w:hAnsi="Times New Roman"/>
          <w:color w:val="000000" w:themeColor="text1"/>
        </w:rPr>
      </w:pPr>
      <w:r w:rsidRPr="005C446D">
        <w:rPr>
          <w:rFonts w:ascii="Times New Roman" w:hAnsi="Times New Roman"/>
          <w:color w:val="000000" w:themeColor="text1"/>
        </w:rPr>
        <w:t xml:space="preserve">University of </w:t>
      </w:r>
      <w:proofErr w:type="spellStart"/>
      <w:r w:rsidRPr="005C446D">
        <w:rPr>
          <w:rFonts w:ascii="Times New Roman" w:hAnsi="Times New Roman"/>
          <w:color w:val="000000" w:themeColor="text1"/>
        </w:rPr>
        <w:t>Muhammadiyah</w:t>
      </w:r>
      <w:proofErr w:type="spellEnd"/>
      <w:r w:rsidRPr="005C446D">
        <w:rPr>
          <w:rFonts w:ascii="Times New Roman" w:hAnsi="Times New Roman"/>
          <w:color w:val="000000" w:themeColor="text1"/>
        </w:rPr>
        <w:t xml:space="preserve"> Yogyakarta, </w:t>
      </w:r>
      <w:proofErr w:type="spellStart"/>
      <w:r w:rsidRPr="005C446D">
        <w:rPr>
          <w:rFonts w:ascii="Times New Roman" w:hAnsi="Times New Roman"/>
          <w:color w:val="000000" w:themeColor="text1"/>
        </w:rPr>
        <w:t>Lingkar</w:t>
      </w:r>
      <w:proofErr w:type="spellEnd"/>
      <w:r w:rsidRPr="005C446D">
        <w:rPr>
          <w:rFonts w:ascii="Times New Roman" w:hAnsi="Times New Roman"/>
          <w:color w:val="000000" w:themeColor="text1"/>
        </w:rPr>
        <w:t xml:space="preserve"> Selatan Street, </w:t>
      </w:r>
      <w:proofErr w:type="spellStart"/>
      <w:r w:rsidRPr="005C446D">
        <w:rPr>
          <w:rFonts w:ascii="Times New Roman" w:hAnsi="Times New Roman"/>
          <w:color w:val="000000" w:themeColor="text1"/>
        </w:rPr>
        <w:t>Kasihan</w:t>
      </w:r>
      <w:proofErr w:type="spellEnd"/>
      <w:r w:rsidRPr="005C446D">
        <w:rPr>
          <w:rFonts w:ascii="Times New Roman" w:hAnsi="Times New Roman"/>
          <w:color w:val="000000" w:themeColor="text1"/>
        </w:rPr>
        <w:t xml:space="preserve"> </w:t>
      </w:r>
      <w:proofErr w:type="spellStart"/>
      <w:r w:rsidRPr="005C446D">
        <w:rPr>
          <w:rFonts w:ascii="Times New Roman" w:hAnsi="Times New Roman"/>
          <w:color w:val="000000" w:themeColor="text1"/>
        </w:rPr>
        <w:t>Bantul</w:t>
      </w:r>
      <w:proofErr w:type="spellEnd"/>
      <w:r w:rsidRPr="005C446D">
        <w:rPr>
          <w:rFonts w:ascii="Times New Roman" w:hAnsi="Times New Roman"/>
          <w:color w:val="000000" w:themeColor="text1"/>
        </w:rPr>
        <w:t xml:space="preserve">, Yogyakarta, Indonesia, Email </w:t>
      </w:r>
      <w:hyperlink r:id="rId5" w:history="1">
        <w:r w:rsidRPr="005C446D">
          <w:rPr>
            <w:rStyle w:val="Hyperlink"/>
            <w:rFonts w:ascii="Times New Roman" w:hAnsi="Times New Roman"/>
            <w:color w:val="000000" w:themeColor="text1"/>
            <w:u w:val="none"/>
          </w:rPr>
          <w:t>sigit_kurniawan119@yahoo.com</w:t>
        </w:r>
      </w:hyperlink>
    </w:p>
    <w:p w14:paraId="5FFCEE2B" w14:textId="77777777" w:rsidR="008F72C6" w:rsidRPr="005C446D" w:rsidRDefault="00B20523" w:rsidP="00B20523">
      <w:pPr>
        <w:pStyle w:val="Default"/>
        <w:jc w:val="center"/>
        <w:rPr>
          <w:rFonts w:ascii="Times New Roman" w:hAnsi="Times New Roman"/>
          <w:color w:val="000000" w:themeColor="text1"/>
        </w:rPr>
      </w:pPr>
      <w:r w:rsidRPr="005C446D">
        <w:rPr>
          <w:rFonts w:ascii="Times New Roman" w:hAnsi="Times New Roman"/>
          <w:color w:val="000000" w:themeColor="text1"/>
        </w:rPr>
        <w:t xml:space="preserve"> </w:t>
      </w:r>
      <w:r w:rsidRPr="005C446D">
        <w:rPr>
          <w:rFonts w:ascii="Times New Roman" w:hAnsi="Times New Roman"/>
          <w:color w:val="000000" w:themeColor="text1"/>
          <w:vertAlign w:val="superscript"/>
        </w:rPr>
        <w:t xml:space="preserve">2 </w:t>
      </w:r>
      <w:r w:rsidRPr="005C446D">
        <w:rPr>
          <w:rFonts w:ascii="Times New Roman" w:hAnsi="Times New Roman"/>
          <w:color w:val="000000" w:themeColor="text1"/>
        </w:rPr>
        <w:t xml:space="preserve">Lecture of Hospital Management Program, </w:t>
      </w:r>
      <w:proofErr w:type="spellStart"/>
      <w:r w:rsidRPr="005C446D">
        <w:rPr>
          <w:rFonts w:ascii="Times New Roman" w:hAnsi="Times New Roman"/>
          <w:color w:val="000000" w:themeColor="text1"/>
        </w:rPr>
        <w:t>PostGraduate</w:t>
      </w:r>
      <w:proofErr w:type="spellEnd"/>
      <w:r w:rsidRPr="005C446D">
        <w:rPr>
          <w:rFonts w:ascii="Times New Roman" w:hAnsi="Times New Roman"/>
          <w:color w:val="000000" w:themeColor="text1"/>
        </w:rPr>
        <w:t xml:space="preserve"> Program. </w:t>
      </w:r>
    </w:p>
    <w:p w14:paraId="0398D336" w14:textId="0549D1B9" w:rsidR="00B20523" w:rsidRPr="005C446D" w:rsidRDefault="00B20523" w:rsidP="00B20523">
      <w:pPr>
        <w:pStyle w:val="Default"/>
        <w:jc w:val="center"/>
        <w:rPr>
          <w:rFonts w:ascii="Times New Roman" w:hAnsi="Times New Roman"/>
          <w:color w:val="000000" w:themeColor="text1"/>
        </w:rPr>
      </w:pPr>
      <w:r w:rsidRPr="005C446D">
        <w:rPr>
          <w:rFonts w:ascii="Times New Roman" w:hAnsi="Times New Roman"/>
          <w:color w:val="000000" w:themeColor="text1"/>
        </w:rPr>
        <w:t xml:space="preserve">University of </w:t>
      </w:r>
      <w:proofErr w:type="spellStart"/>
      <w:r w:rsidRPr="005C446D">
        <w:rPr>
          <w:rFonts w:ascii="Times New Roman" w:hAnsi="Times New Roman"/>
          <w:color w:val="000000" w:themeColor="text1"/>
        </w:rPr>
        <w:t>Muhammadiyah</w:t>
      </w:r>
      <w:proofErr w:type="spellEnd"/>
      <w:r w:rsidRPr="005C446D">
        <w:rPr>
          <w:rFonts w:ascii="Times New Roman" w:hAnsi="Times New Roman"/>
          <w:color w:val="000000" w:themeColor="text1"/>
        </w:rPr>
        <w:t xml:space="preserve"> Yogyakarta</w:t>
      </w:r>
    </w:p>
    <w:p w14:paraId="18EB5E3D" w14:textId="77777777" w:rsidR="00B20523" w:rsidRPr="005C446D" w:rsidRDefault="00B20523" w:rsidP="00B20523">
      <w:pPr>
        <w:spacing w:line="363" w:lineRule="exact"/>
        <w:rPr>
          <w:rFonts w:ascii="Times New Roman" w:eastAsia="Times New Roman" w:hAnsi="Times New Roman" w:cs="Times New Roman"/>
          <w:color w:val="000000" w:themeColor="text1"/>
          <w:sz w:val="24"/>
        </w:rPr>
      </w:pPr>
    </w:p>
    <w:p w14:paraId="188B16AA" w14:textId="77777777" w:rsidR="00B20523" w:rsidRDefault="00B20523" w:rsidP="00B20523">
      <w:pPr>
        <w:spacing w:line="0" w:lineRule="atLeast"/>
        <w:ind w:right="-559"/>
        <w:jc w:val="center"/>
        <w:rPr>
          <w:rFonts w:ascii="Times New Roman" w:eastAsia="Cambria" w:hAnsi="Times New Roman" w:cs="Times New Roman"/>
          <w:b/>
          <w:color w:val="000000" w:themeColor="text1"/>
          <w:sz w:val="24"/>
        </w:rPr>
      </w:pPr>
      <w:r w:rsidRPr="005C446D">
        <w:rPr>
          <w:rFonts w:ascii="Times New Roman" w:eastAsia="Cambria" w:hAnsi="Times New Roman" w:cs="Times New Roman"/>
          <w:b/>
          <w:color w:val="000000" w:themeColor="text1"/>
          <w:sz w:val="24"/>
        </w:rPr>
        <w:t>ABSTRAK</w:t>
      </w:r>
    </w:p>
    <w:p w14:paraId="7596033D" w14:textId="77777777" w:rsidR="00E3734B" w:rsidRPr="005C446D" w:rsidRDefault="00E3734B" w:rsidP="00B20523">
      <w:pPr>
        <w:spacing w:line="0" w:lineRule="atLeast"/>
        <w:ind w:right="-559"/>
        <w:jc w:val="center"/>
        <w:rPr>
          <w:rFonts w:ascii="Times New Roman" w:eastAsia="Cambria" w:hAnsi="Times New Roman" w:cs="Times New Roman"/>
          <w:b/>
          <w:color w:val="000000" w:themeColor="text1"/>
          <w:sz w:val="24"/>
        </w:rPr>
      </w:pPr>
    </w:p>
    <w:p w14:paraId="2AF13CB2" w14:textId="57B42F0E" w:rsidR="00B20523" w:rsidRPr="005C446D" w:rsidRDefault="00B20523" w:rsidP="00B20523">
      <w:pPr>
        <w:ind w:left="284"/>
        <w:jc w:val="both"/>
        <w:rPr>
          <w:rFonts w:ascii="Times New Roman" w:hAnsi="Times New Roman"/>
          <w:color w:val="000000" w:themeColor="text1"/>
          <w:sz w:val="24"/>
          <w:szCs w:val="24"/>
        </w:rPr>
      </w:pPr>
      <w:r w:rsidRPr="005C446D">
        <w:rPr>
          <w:rFonts w:ascii="Times New Roman" w:hAnsi="Times New Roman"/>
          <w:b/>
          <w:color w:val="000000" w:themeColor="text1"/>
          <w:sz w:val="24"/>
          <w:szCs w:val="24"/>
        </w:rPr>
        <w:t xml:space="preserve">Background: </w:t>
      </w:r>
      <w:r w:rsidRPr="005C446D">
        <w:rPr>
          <w:rFonts w:ascii="Times New Roman" w:hAnsi="Times New Roman" w:cs="Times New Roman"/>
          <w:color w:val="000000" w:themeColor="text1"/>
          <w:sz w:val="24"/>
          <w:szCs w:val="24"/>
        </w:rPr>
        <w:t xml:space="preserve">The system used by the government to payment of tariff claim to hospital is by using INA-CBG’s system </w:t>
      </w:r>
      <w:r w:rsidRPr="005C446D">
        <w:rPr>
          <w:rFonts w:ascii="Times New Roman" w:hAnsi="Times New Roman"/>
          <w:color w:val="000000" w:themeColor="text1"/>
          <w:sz w:val="24"/>
          <w:szCs w:val="24"/>
        </w:rPr>
        <w:t>(</w:t>
      </w:r>
      <w:r w:rsidRPr="005C446D">
        <w:rPr>
          <w:rFonts w:ascii="Times New Roman" w:hAnsi="Times New Roman"/>
          <w:i/>
          <w:iCs/>
          <w:color w:val="000000" w:themeColor="text1"/>
          <w:sz w:val="24"/>
          <w:szCs w:val="24"/>
        </w:rPr>
        <w:t>Indonesian Case Based Groups</w:t>
      </w:r>
      <w:r w:rsidRPr="005C446D">
        <w:rPr>
          <w:rFonts w:ascii="Times New Roman" w:hAnsi="Times New Roman"/>
          <w:color w:val="000000" w:themeColor="text1"/>
          <w:sz w:val="24"/>
          <w:szCs w:val="24"/>
        </w:rPr>
        <w:t xml:space="preserve">). The implementation of INA-CBG’s system by the government make hospitals need to analyze expenditure cost in patient treatment, and take effort to effectively reduce cost expended, one of those is by using clinical pathway.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 xml:space="preserve"> hospital has never conducted a cost evaluation based on clinical pathway for </w:t>
      </w:r>
      <w:r w:rsidR="008F72C6" w:rsidRPr="005C446D">
        <w:rPr>
          <w:rFonts w:ascii="Times New Roman" w:hAnsi="Times New Roman"/>
          <w:color w:val="000000" w:themeColor="text1"/>
          <w:sz w:val="24"/>
          <w:szCs w:val="24"/>
        </w:rPr>
        <w:t>mild</w:t>
      </w:r>
      <w:r w:rsidRPr="005C446D">
        <w:rPr>
          <w:rFonts w:ascii="Times New Roman" w:hAnsi="Times New Roman"/>
          <w:color w:val="000000" w:themeColor="text1"/>
          <w:sz w:val="24"/>
          <w:szCs w:val="24"/>
        </w:rPr>
        <w:t xml:space="preserve"> head injury, only in the case of appendicitis has been evaluated based on clinical pathway and compared with INA-CBG tariff obtained positive difference, the costs incurred by Hospitals are lower compared to INA-CBG "s tariff claims. One of the cost calculations in the hospital, by using analysis of unit cost.</w:t>
      </w:r>
    </w:p>
    <w:p w14:paraId="03B23057" w14:textId="77777777" w:rsidR="00B20523" w:rsidRPr="005C446D" w:rsidRDefault="00B20523" w:rsidP="00B20523">
      <w:pPr>
        <w:jc w:val="both"/>
        <w:rPr>
          <w:rFonts w:ascii="Times New Roman" w:hAnsi="Times New Roman"/>
          <w:color w:val="000000" w:themeColor="text1"/>
          <w:sz w:val="24"/>
          <w:szCs w:val="24"/>
        </w:rPr>
      </w:pPr>
    </w:p>
    <w:p w14:paraId="65F52B81" w14:textId="1C2641BA" w:rsidR="00B20523" w:rsidRPr="005C446D" w:rsidRDefault="00B20523" w:rsidP="00B20523">
      <w:pPr>
        <w:ind w:left="284"/>
        <w:jc w:val="both"/>
        <w:rPr>
          <w:rFonts w:ascii="Times New Roman" w:hAnsi="Times New Roman"/>
          <w:color w:val="000000" w:themeColor="text1"/>
          <w:sz w:val="24"/>
          <w:szCs w:val="24"/>
        </w:rPr>
      </w:pPr>
      <w:r w:rsidRPr="005C446D">
        <w:rPr>
          <w:rFonts w:ascii="Times New Roman" w:hAnsi="Times New Roman"/>
          <w:b/>
          <w:color w:val="000000" w:themeColor="text1"/>
          <w:sz w:val="24"/>
          <w:szCs w:val="24"/>
        </w:rPr>
        <w:t>Research Objective:</w:t>
      </w:r>
      <w:r w:rsidRPr="005C446D">
        <w:rPr>
          <w:rFonts w:ascii="Times New Roman" w:hAnsi="Times New Roman"/>
          <w:color w:val="000000" w:themeColor="text1"/>
          <w:sz w:val="24"/>
          <w:szCs w:val="24"/>
        </w:rPr>
        <w:t xml:space="preserve"> To analyzed the unit cost in </w:t>
      </w:r>
      <w:r w:rsidR="008F72C6" w:rsidRPr="005C446D">
        <w:rPr>
          <w:rFonts w:ascii="Times New Roman" w:hAnsi="Times New Roman"/>
          <w:color w:val="000000" w:themeColor="text1"/>
          <w:sz w:val="24"/>
          <w:szCs w:val="24"/>
        </w:rPr>
        <w:t>mild</w:t>
      </w:r>
      <w:r w:rsidRPr="005C446D">
        <w:rPr>
          <w:rFonts w:ascii="Times New Roman" w:hAnsi="Times New Roman"/>
          <w:color w:val="000000" w:themeColor="text1"/>
          <w:sz w:val="24"/>
          <w:szCs w:val="24"/>
        </w:rPr>
        <w:t xml:space="preserve"> head injury patient with Activity Based Costing method in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 xml:space="preserve"> hospital.</w:t>
      </w:r>
    </w:p>
    <w:p w14:paraId="0992F305" w14:textId="77777777" w:rsidR="00B20523" w:rsidRPr="005C446D" w:rsidRDefault="00B20523" w:rsidP="00B20523">
      <w:pPr>
        <w:jc w:val="both"/>
        <w:rPr>
          <w:rFonts w:ascii="Times New Roman" w:hAnsi="Times New Roman"/>
          <w:color w:val="000000" w:themeColor="text1"/>
          <w:sz w:val="24"/>
          <w:szCs w:val="24"/>
        </w:rPr>
      </w:pPr>
    </w:p>
    <w:p w14:paraId="6581C3A8" w14:textId="42750ACC" w:rsidR="00B20523" w:rsidRPr="005C446D" w:rsidRDefault="00B20523" w:rsidP="00B20523">
      <w:pPr>
        <w:ind w:left="284"/>
        <w:jc w:val="both"/>
        <w:rPr>
          <w:rFonts w:ascii="Times New Roman" w:hAnsi="Times New Roman"/>
          <w:color w:val="000000" w:themeColor="text1"/>
          <w:sz w:val="24"/>
          <w:szCs w:val="24"/>
        </w:rPr>
      </w:pPr>
      <w:r w:rsidRPr="005C446D">
        <w:rPr>
          <w:rFonts w:ascii="Times New Roman" w:hAnsi="Times New Roman"/>
          <w:b/>
          <w:color w:val="000000" w:themeColor="text1"/>
          <w:sz w:val="24"/>
          <w:szCs w:val="24"/>
        </w:rPr>
        <w:t>Method</w:t>
      </w:r>
      <w:r w:rsidRPr="005C446D">
        <w:rPr>
          <w:rFonts w:ascii="Times New Roman" w:hAnsi="Times New Roman"/>
          <w:color w:val="000000" w:themeColor="text1"/>
          <w:sz w:val="24"/>
          <w:szCs w:val="24"/>
        </w:rPr>
        <w:t xml:space="preserve">: This research did in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 xml:space="preserve"> hospital. This research was kind of quantitative descriptive research</w:t>
      </w:r>
      <w:r w:rsidRPr="005C446D">
        <w:rPr>
          <w:rFonts w:ascii="Times New Roman" w:hAnsi="Times New Roman"/>
          <w:i/>
          <w:color w:val="000000" w:themeColor="text1"/>
          <w:sz w:val="24"/>
          <w:szCs w:val="24"/>
        </w:rPr>
        <w:t xml:space="preserve">. </w:t>
      </w:r>
      <w:r w:rsidR="006D3449" w:rsidRPr="005C446D">
        <w:rPr>
          <w:rFonts w:ascii="Times New Roman" w:hAnsi="Times New Roman"/>
          <w:color w:val="000000" w:themeColor="text1"/>
          <w:sz w:val="24"/>
          <w:szCs w:val="24"/>
          <w:lang w:val="nb-NO"/>
        </w:rPr>
        <w:t xml:space="preserve">The </w:t>
      </w:r>
      <w:proofErr w:type="spellStart"/>
      <w:r w:rsidR="006D3449" w:rsidRPr="005C446D">
        <w:rPr>
          <w:rFonts w:ascii="Times New Roman" w:hAnsi="Times New Roman"/>
          <w:color w:val="000000" w:themeColor="text1"/>
          <w:sz w:val="24"/>
          <w:szCs w:val="24"/>
          <w:lang w:val="nb-NO"/>
        </w:rPr>
        <w:t>subject</w:t>
      </w:r>
      <w:proofErr w:type="spellEnd"/>
      <w:r w:rsidR="006D3449" w:rsidRPr="005C446D">
        <w:rPr>
          <w:rFonts w:ascii="Times New Roman" w:hAnsi="Times New Roman"/>
          <w:color w:val="000000" w:themeColor="text1"/>
          <w:sz w:val="24"/>
          <w:szCs w:val="24"/>
          <w:lang w:val="nb-NO"/>
        </w:rPr>
        <w:t xml:space="preserve"> </w:t>
      </w:r>
      <w:proofErr w:type="spellStart"/>
      <w:r w:rsidR="006D3449" w:rsidRPr="005C446D">
        <w:rPr>
          <w:rFonts w:ascii="Times New Roman" w:hAnsi="Times New Roman"/>
          <w:color w:val="000000" w:themeColor="text1"/>
          <w:sz w:val="24"/>
          <w:szCs w:val="24"/>
          <w:lang w:val="nb-NO"/>
        </w:rPr>
        <w:t>of</w:t>
      </w:r>
      <w:proofErr w:type="spellEnd"/>
      <w:r w:rsidR="006D3449" w:rsidRPr="005C446D">
        <w:rPr>
          <w:rFonts w:ascii="Times New Roman" w:hAnsi="Times New Roman"/>
          <w:color w:val="000000" w:themeColor="text1"/>
          <w:sz w:val="24"/>
          <w:szCs w:val="24"/>
          <w:lang w:val="nb-NO"/>
        </w:rPr>
        <w:t xml:space="preserve"> </w:t>
      </w:r>
      <w:proofErr w:type="spellStart"/>
      <w:r w:rsidR="006D3449" w:rsidRPr="005C446D">
        <w:rPr>
          <w:rFonts w:ascii="Times New Roman" w:hAnsi="Times New Roman"/>
          <w:color w:val="000000" w:themeColor="text1"/>
          <w:sz w:val="24"/>
          <w:szCs w:val="24"/>
          <w:lang w:val="nb-NO"/>
        </w:rPr>
        <w:t>this</w:t>
      </w:r>
      <w:proofErr w:type="spellEnd"/>
      <w:r w:rsidR="006D3449" w:rsidRPr="005C446D">
        <w:rPr>
          <w:rFonts w:ascii="Times New Roman" w:hAnsi="Times New Roman"/>
          <w:color w:val="000000" w:themeColor="text1"/>
          <w:sz w:val="24"/>
          <w:szCs w:val="24"/>
          <w:lang w:val="nb-NO"/>
        </w:rPr>
        <w:t xml:space="preserve"> </w:t>
      </w:r>
      <w:proofErr w:type="spellStart"/>
      <w:r w:rsidR="006D3449" w:rsidRPr="005C446D">
        <w:rPr>
          <w:rFonts w:ascii="Times New Roman" w:hAnsi="Times New Roman"/>
          <w:color w:val="000000" w:themeColor="text1"/>
          <w:sz w:val="24"/>
          <w:szCs w:val="24"/>
          <w:lang w:val="nb-NO"/>
        </w:rPr>
        <w:t>research</w:t>
      </w:r>
      <w:proofErr w:type="spellEnd"/>
      <w:r w:rsidR="006D3449" w:rsidRPr="005C446D">
        <w:rPr>
          <w:rFonts w:ascii="Times New Roman" w:hAnsi="Times New Roman"/>
          <w:color w:val="000000" w:themeColor="text1"/>
          <w:sz w:val="24"/>
          <w:szCs w:val="24"/>
          <w:lang w:val="nb-NO"/>
        </w:rPr>
        <w:t xml:space="preserve"> is</w:t>
      </w:r>
      <w:r w:rsidRPr="005C446D">
        <w:rPr>
          <w:rFonts w:ascii="Times New Roman" w:hAnsi="Times New Roman"/>
          <w:color w:val="000000" w:themeColor="text1"/>
          <w:sz w:val="24"/>
          <w:szCs w:val="24"/>
          <w:lang w:val="nb-NO"/>
        </w:rPr>
        <w:t xml:space="preserve"> </w:t>
      </w:r>
      <w:r w:rsidRPr="005C446D">
        <w:rPr>
          <w:rFonts w:ascii="Times New Roman" w:hAnsi="Times New Roman"/>
          <w:color w:val="000000" w:themeColor="text1"/>
          <w:sz w:val="24"/>
          <w:szCs w:val="24"/>
        </w:rPr>
        <w:t xml:space="preserve">chief financial officer, Surgical Specialist, Head of Ward </w:t>
      </w:r>
      <w:proofErr w:type="spellStart"/>
      <w:r w:rsidRPr="005C446D">
        <w:rPr>
          <w:rFonts w:ascii="Times New Roman" w:hAnsi="Times New Roman"/>
          <w:color w:val="000000" w:themeColor="text1"/>
          <w:sz w:val="24"/>
          <w:szCs w:val="24"/>
        </w:rPr>
        <w:t>Melati</w:t>
      </w:r>
      <w:proofErr w:type="spellEnd"/>
      <w:r w:rsidRPr="005C446D">
        <w:rPr>
          <w:rFonts w:ascii="Times New Roman" w:hAnsi="Times New Roman"/>
          <w:color w:val="000000" w:themeColor="text1"/>
          <w:sz w:val="24"/>
          <w:szCs w:val="24"/>
        </w:rPr>
        <w:t xml:space="preserve">, pharmacy officer, medic record officer and </w:t>
      </w:r>
      <w:r w:rsidR="006D3449" w:rsidRPr="005C446D">
        <w:rPr>
          <w:rFonts w:ascii="Times New Roman" w:hAnsi="Times New Roman"/>
          <w:color w:val="000000" w:themeColor="text1"/>
          <w:sz w:val="24"/>
          <w:szCs w:val="24"/>
        </w:rPr>
        <w:t>mild</w:t>
      </w:r>
      <w:r w:rsidRPr="005C446D">
        <w:rPr>
          <w:rFonts w:ascii="Times New Roman" w:hAnsi="Times New Roman"/>
          <w:color w:val="000000" w:themeColor="text1"/>
          <w:sz w:val="24"/>
          <w:szCs w:val="24"/>
        </w:rPr>
        <w:t xml:space="preserve"> head injury patient. Data analysis method used was </w:t>
      </w:r>
      <w:r w:rsidRPr="005C446D">
        <w:rPr>
          <w:rFonts w:ascii="Times New Roman" w:hAnsi="Times New Roman"/>
          <w:i/>
          <w:iCs/>
          <w:color w:val="000000" w:themeColor="text1"/>
          <w:sz w:val="24"/>
          <w:szCs w:val="24"/>
        </w:rPr>
        <w:t xml:space="preserve">Activity-Based Costing </w:t>
      </w:r>
      <w:r w:rsidRPr="005C446D">
        <w:rPr>
          <w:rFonts w:ascii="Times New Roman" w:hAnsi="Times New Roman"/>
          <w:color w:val="000000" w:themeColor="text1"/>
          <w:sz w:val="24"/>
          <w:szCs w:val="24"/>
        </w:rPr>
        <w:t>(ABC).</w:t>
      </w:r>
    </w:p>
    <w:p w14:paraId="3E3BF0C1" w14:textId="77777777" w:rsidR="00B20523" w:rsidRPr="005C446D" w:rsidRDefault="00B20523" w:rsidP="00B20523">
      <w:pPr>
        <w:autoSpaceDE w:val="0"/>
        <w:autoSpaceDN w:val="0"/>
        <w:adjustRightInd w:val="0"/>
        <w:rPr>
          <w:rFonts w:ascii="Cambria" w:hAnsi="Cambria" w:cs="Cambria"/>
          <w:color w:val="000000" w:themeColor="text1"/>
          <w:sz w:val="24"/>
          <w:szCs w:val="24"/>
        </w:rPr>
      </w:pPr>
    </w:p>
    <w:p w14:paraId="1C8FE519" w14:textId="4B5DB9EB" w:rsidR="00B20523" w:rsidRPr="005C446D" w:rsidRDefault="00B20523" w:rsidP="00B20523">
      <w:pPr>
        <w:ind w:left="284"/>
        <w:jc w:val="both"/>
        <w:rPr>
          <w:rFonts w:ascii="Times New Roman" w:hAnsi="Times New Roman"/>
          <w:color w:val="000000" w:themeColor="text1"/>
          <w:sz w:val="24"/>
          <w:szCs w:val="24"/>
        </w:rPr>
      </w:pPr>
      <w:r w:rsidRPr="005C446D">
        <w:rPr>
          <w:rFonts w:ascii="Times New Roman" w:hAnsi="Times New Roman"/>
          <w:b/>
          <w:color w:val="000000" w:themeColor="text1"/>
          <w:sz w:val="24"/>
          <w:szCs w:val="24"/>
        </w:rPr>
        <w:t>Result</w:t>
      </w:r>
      <w:r w:rsidRPr="005C446D">
        <w:rPr>
          <w:rFonts w:ascii="Times New Roman" w:hAnsi="Times New Roman"/>
          <w:color w:val="000000" w:themeColor="text1"/>
          <w:sz w:val="24"/>
          <w:szCs w:val="24"/>
        </w:rPr>
        <w:t xml:space="preserve">: Unit cost calculation on inpatients with head injury diagnosis by Activity Based Costing method at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 xml:space="preserve"> hospital </w:t>
      </w:r>
      <w:r w:rsidR="006D3449" w:rsidRPr="005C446D">
        <w:rPr>
          <w:rFonts w:ascii="Times New Roman" w:hAnsi="Times New Roman"/>
          <w:color w:val="000000" w:themeColor="text1"/>
          <w:sz w:val="24"/>
          <w:szCs w:val="24"/>
        </w:rPr>
        <w:t xml:space="preserve">obtained total cost as much </w:t>
      </w:r>
      <w:proofErr w:type="gramStart"/>
      <w:r w:rsidR="006D3449" w:rsidRPr="005C446D">
        <w:rPr>
          <w:rFonts w:ascii="Times New Roman" w:hAnsi="Times New Roman"/>
          <w:color w:val="000000" w:themeColor="text1"/>
          <w:sz w:val="24"/>
          <w:szCs w:val="24"/>
        </w:rPr>
        <w:t>Rp.</w:t>
      </w:r>
      <w:r w:rsidRPr="005C446D">
        <w:rPr>
          <w:rFonts w:ascii="Times New Roman" w:hAnsi="Times New Roman"/>
          <w:color w:val="000000" w:themeColor="text1"/>
          <w:sz w:val="24"/>
          <w:szCs w:val="24"/>
        </w:rPr>
        <w:t>2,301,989.30</w:t>
      </w:r>
      <w:proofErr w:type="gramEnd"/>
      <w:r w:rsidRPr="005C446D">
        <w:rPr>
          <w:rFonts w:ascii="Times New Roman" w:hAnsi="Times New Roman"/>
          <w:color w:val="000000" w:themeColor="text1"/>
          <w:sz w:val="24"/>
          <w:szCs w:val="24"/>
        </w:rPr>
        <w:t>.</w:t>
      </w:r>
      <w:r w:rsidRPr="005C446D">
        <w:rPr>
          <w:color w:val="000000" w:themeColor="text1"/>
          <w:sz w:val="24"/>
          <w:szCs w:val="24"/>
        </w:rPr>
        <w:t xml:space="preserve"> </w:t>
      </w:r>
      <w:r w:rsidRPr="005C446D">
        <w:rPr>
          <w:rFonts w:ascii="Times New Roman" w:hAnsi="Times New Roman"/>
          <w:color w:val="000000" w:themeColor="text1"/>
          <w:sz w:val="24"/>
          <w:szCs w:val="24"/>
        </w:rPr>
        <w:t xml:space="preserve">Unit cost with ABC method got difference between unit cost with real cost according to policy applied in RSUD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 xml:space="preserve"> with difference of cost equal to </w:t>
      </w:r>
      <w:proofErr w:type="spellStart"/>
      <w:r w:rsidRPr="005C446D">
        <w:rPr>
          <w:rFonts w:ascii="Times New Roman" w:hAnsi="Times New Roman"/>
          <w:color w:val="000000" w:themeColor="text1"/>
          <w:sz w:val="24"/>
          <w:szCs w:val="24"/>
        </w:rPr>
        <w:t>Rp</w:t>
      </w:r>
      <w:proofErr w:type="spellEnd"/>
      <w:r w:rsidRPr="005C446D">
        <w:rPr>
          <w:rFonts w:ascii="Times New Roman" w:hAnsi="Times New Roman"/>
          <w:color w:val="000000" w:themeColor="text1"/>
          <w:sz w:val="24"/>
          <w:szCs w:val="24"/>
        </w:rPr>
        <w:t xml:space="preserve">. 84.357,70. Unit cost with ABC method got difference between unit cost with INA CBG’s tariff which set by the government with </w:t>
      </w:r>
      <w:r w:rsidR="006D3449" w:rsidRPr="005C446D">
        <w:rPr>
          <w:rFonts w:ascii="Times New Roman" w:hAnsi="Times New Roman"/>
          <w:color w:val="000000" w:themeColor="text1"/>
          <w:sz w:val="24"/>
          <w:szCs w:val="24"/>
        </w:rPr>
        <w:t>difference of cost equal to Rp.</w:t>
      </w:r>
      <w:r w:rsidRPr="005C446D">
        <w:rPr>
          <w:rFonts w:ascii="Times New Roman" w:hAnsi="Times New Roman"/>
          <w:color w:val="000000" w:themeColor="text1"/>
          <w:sz w:val="24"/>
          <w:szCs w:val="24"/>
        </w:rPr>
        <w:t>146.810,70.</w:t>
      </w:r>
    </w:p>
    <w:p w14:paraId="5754A069" w14:textId="77777777" w:rsidR="00B20523" w:rsidRPr="005C446D" w:rsidRDefault="00B20523" w:rsidP="00B20523">
      <w:pPr>
        <w:pStyle w:val="Default"/>
        <w:spacing w:line="276" w:lineRule="auto"/>
        <w:jc w:val="both"/>
        <w:rPr>
          <w:rFonts w:ascii="Times New Roman" w:hAnsi="Times New Roman"/>
          <w:color w:val="000000" w:themeColor="text1"/>
        </w:rPr>
      </w:pPr>
    </w:p>
    <w:p w14:paraId="649ABC0D" w14:textId="4130CDB0" w:rsidR="00B20523" w:rsidRPr="005C446D" w:rsidRDefault="00B20523" w:rsidP="00B20523">
      <w:pPr>
        <w:ind w:left="284"/>
        <w:jc w:val="both"/>
        <w:rPr>
          <w:rFonts w:ascii="Times New Roman" w:hAnsi="Times New Roman"/>
          <w:color w:val="000000" w:themeColor="text1"/>
          <w:sz w:val="24"/>
          <w:szCs w:val="24"/>
          <w:lang w:val="en"/>
        </w:rPr>
      </w:pPr>
      <w:r w:rsidRPr="005C446D">
        <w:rPr>
          <w:rFonts w:ascii="Times New Roman" w:hAnsi="Times New Roman"/>
          <w:b/>
          <w:color w:val="000000" w:themeColor="text1"/>
          <w:sz w:val="24"/>
          <w:szCs w:val="24"/>
        </w:rPr>
        <w:t xml:space="preserve">Conclusion: </w:t>
      </w:r>
      <w:r w:rsidRPr="005C446D">
        <w:rPr>
          <w:rFonts w:ascii="Times New Roman" w:hAnsi="Times New Roman"/>
          <w:i/>
          <w:iCs/>
          <w:color w:val="000000" w:themeColor="text1"/>
          <w:sz w:val="24"/>
          <w:szCs w:val="24"/>
        </w:rPr>
        <w:t xml:space="preserve">Unit cost </w:t>
      </w:r>
      <w:r w:rsidRPr="005C446D">
        <w:rPr>
          <w:rFonts w:ascii="Times New Roman" w:hAnsi="Times New Roman"/>
          <w:color w:val="000000" w:themeColor="text1"/>
          <w:sz w:val="24"/>
          <w:szCs w:val="24"/>
        </w:rPr>
        <w:t xml:space="preserve">in </w:t>
      </w:r>
      <w:r w:rsidR="006D3449" w:rsidRPr="005C446D">
        <w:rPr>
          <w:rFonts w:ascii="Times New Roman" w:hAnsi="Times New Roman"/>
          <w:color w:val="000000" w:themeColor="text1"/>
          <w:sz w:val="24"/>
          <w:szCs w:val="24"/>
        </w:rPr>
        <w:t>mild</w:t>
      </w:r>
      <w:r w:rsidRPr="005C446D">
        <w:rPr>
          <w:rFonts w:ascii="Times New Roman" w:hAnsi="Times New Roman"/>
          <w:color w:val="000000" w:themeColor="text1"/>
          <w:sz w:val="24"/>
          <w:szCs w:val="24"/>
        </w:rPr>
        <w:t xml:space="preserve"> head injury patients with </w:t>
      </w:r>
      <w:proofErr w:type="gramStart"/>
      <w:r w:rsidRPr="005C446D">
        <w:rPr>
          <w:rFonts w:ascii="Times New Roman" w:hAnsi="Times New Roman"/>
          <w:color w:val="000000" w:themeColor="text1"/>
          <w:sz w:val="24"/>
          <w:szCs w:val="24"/>
        </w:rPr>
        <w:t>ABC  method</w:t>
      </w:r>
      <w:proofErr w:type="gramEnd"/>
      <w:r w:rsidRPr="005C446D">
        <w:rPr>
          <w:rFonts w:ascii="Times New Roman" w:hAnsi="Times New Roman"/>
          <w:color w:val="000000" w:themeColor="text1"/>
          <w:sz w:val="24"/>
          <w:szCs w:val="24"/>
        </w:rPr>
        <w:t xml:space="preserve"> in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 xml:space="preserve"> hospital obtained lower cost t</w:t>
      </w:r>
      <w:r w:rsidR="006D3449" w:rsidRPr="005C446D">
        <w:rPr>
          <w:rFonts w:ascii="Times New Roman" w:hAnsi="Times New Roman"/>
          <w:color w:val="000000" w:themeColor="text1"/>
          <w:sz w:val="24"/>
          <w:szCs w:val="24"/>
        </w:rPr>
        <w:t xml:space="preserve">han the real cost and INA CBG's </w:t>
      </w:r>
      <w:r w:rsidRPr="005C446D">
        <w:rPr>
          <w:rFonts w:ascii="Times New Roman" w:hAnsi="Times New Roman"/>
          <w:color w:val="000000" w:themeColor="text1"/>
          <w:sz w:val="24"/>
          <w:szCs w:val="24"/>
        </w:rPr>
        <w:t>tariff.</w:t>
      </w:r>
      <w:r w:rsidRPr="005C446D">
        <w:rPr>
          <w:rFonts w:ascii="Times New Roman" w:hAnsi="Times New Roman"/>
          <w:b/>
          <w:color w:val="000000" w:themeColor="text1"/>
          <w:sz w:val="24"/>
          <w:szCs w:val="24"/>
        </w:rPr>
        <w:tab/>
      </w:r>
      <w:r w:rsidRPr="005C446D">
        <w:rPr>
          <w:rFonts w:ascii="Times New Roman" w:hAnsi="Times New Roman"/>
          <w:color w:val="000000" w:themeColor="text1"/>
          <w:sz w:val="24"/>
          <w:szCs w:val="24"/>
          <w:lang w:val="en"/>
        </w:rPr>
        <w:t xml:space="preserve"> </w:t>
      </w:r>
    </w:p>
    <w:p w14:paraId="1F2D2BBF" w14:textId="77777777" w:rsidR="00B20523" w:rsidRPr="005C446D" w:rsidRDefault="00B20523" w:rsidP="00B20523">
      <w:pPr>
        <w:ind w:left="284"/>
        <w:jc w:val="both"/>
        <w:rPr>
          <w:rFonts w:ascii="Times New Roman" w:hAnsi="Times New Roman"/>
          <w:color w:val="000000" w:themeColor="text1"/>
          <w:sz w:val="24"/>
          <w:szCs w:val="24"/>
        </w:rPr>
      </w:pPr>
    </w:p>
    <w:p w14:paraId="22F3FCE1" w14:textId="1CCD76C5" w:rsidR="00B20523" w:rsidRPr="005C446D" w:rsidRDefault="00B20523" w:rsidP="00B20523">
      <w:pPr>
        <w:ind w:left="284"/>
        <w:jc w:val="both"/>
        <w:rPr>
          <w:rFonts w:ascii="Times New Roman" w:hAnsi="Times New Roman"/>
          <w:color w:val="000000" w:themeColor="text1"/>
          <w:sz w:val="24"/>
          <w:szCs w:val="24"/>
        </w:rPr>
      </w:pPr>
      <w:r w:rsidRPr="005C446D">
        <w:rPr>
          <w:rFonts w:ascii="Times New Roman" w:hAnsi="Times New Roman"/>
          <w:b/>
          <w:color w:val="000000" w:themeColor="text1"/>
          <w:sz w:val="24"/>
          <w:szCs w:val="24"/>
        </w:rPr>
        <w:t>Keywords</w:t>
      </w:r>
      <w:r w:rsidRPr="005C446D">
        <w:rPr>
          <w:rFonts w:ascii="Times New Roman" w:hAnsi="Times New Roman"/>
          <w:color w:val="000000" w:themeColor="text1"/>
          <w:sz w:val="24"/>
          <w:szCs w:val="24"/>
        </w:rPr>
        <w:t xml:space="preserve">: </w:t>
      </w:r>
      <w:r w:rsidRPr="005C446D">
        <w:rPr>
          <w:rFonts w:ascii="Times New Roman" w:hAnsi="Times New Roman"/>
          <w:i/>
          <w:iCs/>
          <w:color w:val="000000" w:themeColor="text1"/>
          <w:sz w:val="24"/>
          <w:szCs w:val="24"/>
        </w:rPr>
        <w:t xml:space="preserve">Activity-Based Costing </w:t>
      </w:r>
      <w:r w:rsidRPr="005C446D">
        <w:rPr>
          <w:rFonts w:ascii="Times New Roman" w:hAnsi="Times New Roman"/>
          <w:color w:val="000000" w:themeColor="text1"/>
          <w:sz w:val="24"/>
          <w:szCs w:val="24"/>
        </w:rPr>
        <w:t xml:space="preserve">(ABC), </w:t>
      </w:r>
      <w:r w:rsidRPr="005C446D">
        <w:rPr>
          <w:rFonts w:ascii="Times New Roman" w:hAnsi="Times New Roman"/>
          <w:i/>
          <w:iCs/>
          <w:color w:val="000000" w:themeColor="text1"/>
          <w:sz w:val="24"/>
          <w:szCs w:val="24"/>
        </w:rPr>
        <w:t>Unit Cost</w:t>
      </w:r>
      <w:r w:rsidR="006D3449" w:rsidRPr="005C446D">
        <w:rPr>
          <w:rFonts w:ascii="Times New Roman" w:hAnsi="Times New Roman"/>
          <w:color w:val="000000" w:themeColor="text1"/>
          <w:sz w:val="24"/>
          <w:szCs w:val="24"/>
        </w:rPr>
        <w:t>, Mild</w:t>
      </w:r>
      <w:r w:rsidRPr="005C446D">
        <w:rPr>
          <w:rFonts w:ascii="Times New Roman" w:hAnsi="Times New Roman"/>
          <w:color w:val="000000" w:themeColor="text1"/>
          <w:sz w:val="24"/>
          <w:szCs w:val="24"/>
        </w:rPr>
        <w:t xml:space="preserve"> head injury</w:t>
      </w:r>
    </w:p>
    <w:p w14:paraId="36EC6E07" w14:textId="77777777" w:rsidR="00B20523" w:rsidRPr="005C446D" w:rsidRDefault="00B20523" w:rsidP="00F11A54">
      <w:pPr>
        <w:rPr>
          <w:rFonts w:ascii="Times New Roman" w:eastAsia="Cambria" w:hAnsi="Times New Roman" w:cs="Times New Roman"/>
          <w:b/>
          <w:color w:val="000000" w:themeColor="text1"/>
          <w:sz w:val="24"/>
        </w:rPr>
      </w:pPr>
    </w:p>
    <w:p w14:paraId="2745D2DE" w14:textId="77777777" w:rsidR="00B20523" w:rsidRPr="005C446D" w:rsidRDefault="00B20523" w:rsidP="00F11A54">
      <w:pPr>
        <w:rPr>
          <w:rFonts w:ascii="Times New Roman" w:eastAsia="Cambria" w:hAnsi="Times New Roman" w:cs="Times New Roman"/>
          <w:b/>
          <w:color w:val="000000" w:themeColor="text1"/>
          <w:sz w:val="24"/>
        </w:rPr>
      </w:pPr>
    </w:p>
    <w:p w14:paraId="31BD5E31" w14:textId="77777777" w:rsidR="006D3449" w:rsidRPr="005C446D" w:rsidRDefault="006D3449" w:rsidP="00F11A54">
      <w:pPr>
        <w:rPr>
          <w:rFonts w:ascii="Times New Roman" w:eastAsia="Cambria" w:hAnsi="Times New Roman" w:cs="Times New Roman"/>
          <w:b/>
          <w:color w:val="000000" w:themeColor="text1"/>
          <w:sz w:val="24"/>
        </w:rPr>
      </w:pPr>
    </w:p>
    <w:p w14:paraId="3CB75DB3" w14:textId="77777777" w:rsidR="00B20523" w:rsidRPr="005C446D" w:rsidRDefault="00B20523" w:rsidP="00F11A54">
      <w:pPr>
        <w:rPr>
          <w:rFonts w:ascii="Times New Roman" w:eastAsia="Cambria" w:hAnsi="Times New Roman" w:cs="Times New Roman"/>
          <w:b/>
          <w:color w:val="000000" w:themeColor="text1"/>
          <w:sz w:val="24"/>
        </w:rPr>
      </w:pPr>
    </w:p>
    <w:p w14:paraId="619267B4" w14:textId="77777777" w:rsidR="00B20523" w:rsidRPr="005C446D" w:rsidRDefault="00B20523" w:rsidP="00F11A54">
      <w:pPr>
        <w:rPr>
          <w:rFonts w:ascii="Times New Roman" w:eastAsia="Cambria" w:hAnsi="Times New Roman" w:cs="Times New Roman"/>
          <w:b/>
          <w:color w:val="000000" w:themeColor="text1"/>
          <w:sz w:val="24"/>
        </w:rPr>
      </w:pPr>
    </w:p>
    <w:p w14:paraId="48A14FC3" w14:textId="77777777" w:rsidR="00B20523" w:rsidRPr="005C446D" w:rsidRDefault="00B20523" w:rsidP="00F11A54">
      <w:pPr>
        <w:rPr>
          <w:rFonts w:ascii="Times New Roman" w:eastAsia="Cambria" w:hAnsi="Times New Roman" w:cs="Times New Roman"/>
          <w:b/>
          <w:color w:val="000000" w:themeColor="text1"/>
          <w:sz w:val="24"/>
        </w:rPr>
      </w:pPr>
    </w:p>
    <w:p w14:paraId="6F7DD0D7" w14:textId="77777777" w:rsidR="00B20523" w:rsidRPr="005C446D" w:rsidRDefault="00B20523" w:rsidP="00F11A54">
      <w:pPr>
        <w:rPr>
          <w:rFonts w:ascii="Times New Roman" w:eastAsia="Cambria" w:hAnsi="Times New Roman" w:cs="Times New Roman"/>
          <w:b/>
          <w:color w:val="000000" w:themeColor="text1"/>
          <w:sz w:val="24"/>
        </w:rPr>
      </w:pPr>
    </w:p>
    <w:p w14:paraId="4C53DA46" w14:textId="77777777" w:rsidR="00B20523" w:rsidRPr="005C446D" w:rsidRDefault="00B20523" w:rsidP="00F11A54">
      <w:pPr>
        <w:rPr>
          <w:rFonts w:ascii="Times New Roman" w:eastAsia="Cambria" w:hAnsi="Times New Roman" w:cs="Times New Roman"/>
          <w:b/>
          <w:color w:val="000000" w:themeColor="text1"/>
          <w:sz w:val="24"/>
        </w:rPr>
      </w:pPr>
    </w:p>
    <w:p w14:paraId="36919767" w14:textId="77777777" w:rsidR="00F11A54" w:rsidRDefault="00F11A54" w:rsidP="00E3734B">
      <w:pPr>
        <w:jc w:val="center"/>
        <w:rPr>
          <w:rFonts w:ascii="Times New Roman" w:eastAsia="Cambria" w:hAnsi="Times New Roman" w:cs="Times New Roman"/>
          <w:b/>
          <w:color w:val="000000" w:themeColor="text1"/>
          <w:sz w:val="24"/>
        </w:rPr>
      </w:pPr>
      <w:r w:rsidRPr="005C446D">
        <w:rPr>
          <w:rFonts w:ascii="Times New Roman" w:eastAsia="Cambria" w:hAnsi="Times New Roman" w:cs="Times New Roman"/>
          <w:b/>
          <w:color w:val="000000" w:themeColor="text1"/>
          <w:sz w:val="24"/>
        </w:rPr>
        <w:lastRenderedPageBreak/>
        <w:t>INTRODUCTION</w:t>
      </w:r>
    </w:p>
    <w:p w14:paraId="596E3FE4" w14:textId="77777777" w:rsidR="00E3734B" w:rsidRPr="005C446D" w:rsidRDefault="00E3734B" w:rsidP="00E3734B">
      <w:pPr>
        <w:jc w:val="center"/>
        <w:rPr>
          <w:rFonts w:ascii="Times New Roman" w:eastAsia="Cambria" w:hAnsi="Times New Roman" w:cs="Times New Roman"/>
          <w:b/>
          <w:color w:val="000000" w:themeColor="text1"/>
          <w:sz w:val="24"/>
        </w:rPr>
      </w:pPr>
    </w:p>
    <w:p w14:paraId="0A6A2C5A" w14:textId="77777777" w:rsidR="00F11A54" w:rsidRPr="005C446D" w:rsidRDefault="00F11A54" w:rsidP="00FD7CFA">
      <w:pPr>
        <w:pStyle w:val="ListParagraph"/>
        <w:spacing w:after="0" w:line="240" w:lineRule="auto"/>
        <w:ind w:left="0" w:firstLine="360"/>
        <w:jc w:val="both"/>
        <w:rPr>
          <w:rFonts w:ascii="Times New Roman" w:hAnsi="Times New Roman"/>
          <w:color w:val="000000" w:themeColor="text1"/>
          <w:sz w:val="24"/>
          <w:szCs w:val="24"/>
          <w:vertAlign w:val="superscript"/>
        </w:rPr>
      </w:pPr>
      <w:r w:rsidRPr="005C446D">
        <w:rPr>
          <w:rFonts w:ascii="Times New Roman" w:hAnsi="Times New Roman"/>
          <w:color w:val="000000" w:themeColor="text1"/>
          <w:sz w:val="24"/>
          <w:szCs w:val="24"/>
          <w:lang w:val="en"/>
        </w:rPr>
        <w:t>Increasing public demand for services in the health sector requires hospitals to always improve their human resource capacity so as to provide quality and professional services. These demands are both goals and motivations to provide health services in hospitals. On the other hand, the availability of government resources and subsidies aimed at financing public health services is increasingly limited.</w:t>
      </w:r>
      <w:r w:rsidRPr="005C446D">
        <w:rPr>
          <w:rFonts w:ascii="Times New Roman" w:hAnsi="Times New Roman"/>
          <w:color w:val="000000" w:themeColor="text1"/>
          <w:sz w:val="24"/>
          <w:szCs w:val="24"/>
          <w:vertAlign w:val="superscript"/>
        </w:rPr>
        <w:t xml:space="preserve"> 1</w:t>
      </w:r>
    </w:p>
    <w:p w14:paraId="26343BAF" w14:textId="77777777" w:rsidR="00F11A54" w:rsidRPr="005C446D" w:rsidRDefault="00F11A54" w:rsidP="00FD7CFA">
      <w:pPr>
        <w:pStyle w:val="ListParagraph"/>
        <w:spacing w:after="0" w:line="240" w:lineRule="auto"/>
        <w:ind w:left="0" w:firstLine="360"/>
        <w:jc w:val="both"/>
        <w:rPr>
          <w:rFonts w:ascii="Times New Roman" w:hAnsi="Times New Roman"/>
          <w:color w:val="000000" w:themeColor="text1"/>
          <w:sz w:val="24"/>
          <w:szCs w:val="24"/>
          <w:vertAlign w:val="superscript"/>
        </w:rPr>
      </w:pPr>
      <w:r w:rsidRPr="005C446D">
        <w:rPr>
          <w:rFonts w:ascii="Times New Roman" w:hAnsi="Times New Roman"/>
          <w:color w:val="000000" w:themeColor="text1"/>
          <w:sz w:val="24"/>
          <w:szCs w:val="24"/>
          <w:lang w:val="en"/>
        </w:rPr>
        <w:t>The Center for Financing and Health Insurance (2012) through its official website states that the increasing health costs make difficult for people to access the health services they need. This situation mainly occurs in circumstances where health financing should be borne (out of pocket) in the cash payment service system (fee for service). This increase in health costs is caused by the application of advanced technology, the character of "supply induced demand" in health services, and the pattern of direct cash payments to health providers, chronic and degenerative diseases, and inflation.</w:t>
      </w:r>
      <w:r w:rsidRPr="005C446D">
        <w:rPr>
          <w:rFonts w:ascii="Times New Roman" w:hAnsi="Times New Roman"/>
          <w:color w:val="000000" w:themeColor="text1"/>
          <w:sz w:val="24"/>
          <w:szCs w:val="24"/>
          <w:vertAlign w:val="superscript"/>
        </w:rPr>
        <w:t>2</w:t>
      </w:r>
    </w:p>
    <w:p w14:paraId="3CE26AE3" w14:textId="77777777" w:rsidR="00F11A54" w:rsidRPr="005C446D" w:rsidRDefault="00F11A54" w:rsidP="00FD7CFA">
      <w:pPr>
        <w:pStyle w:val="ListParagraph"/>
        <w:spacing w:after="0" w:line="240" w:lineRule="auto"/>
        <w:ind w:left="0" w:firstLine="360"/>
        <w:jc w:val="both"/>
        <w:rPr>
          <w:rFonts w:ascii="Times New Roman" w:hAnsi="Times New Roman"/>
          <w:color w:val="000000" w:themeColor="text1"/>
          <w:sz w:val="24"/>
          <w:szCs w:val="24"/>
          <w:vertAlign w:val="superscript"/>
        </w:rPr>
      </w:pPr>
      <w:r w:rsidRPr="005C446D">
        <w:rPr>
          <w:rFonts w:ascii="Times New Roman" w:hAnsi="Times New Roman"/>
          <w:color w:val="000000" w:themeColor="text1"/>
          <w:sz w:val="24"/>
          <w:szCs w:val="24"/>
          <w:lang w:val="en"/>
        </w:rPr>
        <w:t xml:space="preserve">On January 1, 2014 the government began implementing the National Health Insurance System (JKN) which began to change the health payment system initially fee for service into a prospective system known </w:t>
      </w:r>
      <w:proofErr w:type="spellStart"/>
      <w:r w:rsidRPr="005C446D">
        <w:rPr>
          <w:rFonts w:ascii="Times New Roman" w:hAnsi="Times New Roman"/>
          <w:color w:val="000000" w:themeColor="text1"/>
          <w:sz w:val="24"/>
          <w:szCs w:val="24"/>
          <w:lang w:val="en"/>
        </w:rPr>
        <w:t>casemix</w:t>
      </w:r>
      <w:proofErr w:type="spellEnd"/>
      <w:r w:rsidRPr="005C446D">
        <w:rPr>
          <w:rFonts w:ascii="Times New Roman" w:hAnsi="Times New Roman"/>
          <w:color w:val="000000" w:themeColor="text1"/>
          <w:sz w:val="24"/>
          <w:szCs w:val="24"/>
          <w:lang w:val="en"/>
        </w:rPr>
        <w:t xml:space="preserve"> (case based payment) Indonesia Case Based Group's (INA-CBG) system in under the Social Security Administering Body (BPJS). Case Base Groups (CBG's) are in principle the same as the Group's Diagnosis Related (DRG's) which is a system of rewarding health care services to health care providers defined by the classification of disease diagnoses as an effort to control costs without excluding quality health services, so that the health services provided are effective and efficient.</w:t>
      </w:r>
      <w:r w:rsidRPr="005C446D">
        <w:rPr>
          <w:rFonts w:ascii="Times New Roman" w:hAnsi="Times New Roman"/>
          <w:color w:val="000000" w:themeColor="text1"/>
          <w:sz w:val="24"/>
          <w:szCs w:val="24"/>
          <w:vertAlign w:val="superscript"/>
        </w:rPr>
        <w:t xml:space="preserve">3 </w:t>
      </w:r>
    </w:p>
    <w:p w14:paraId="552B56C9" w14:textId="77777777" w:rsidR="00F11A54" w:rsidRPr="005C446D" w:rsidRDefault="00F11A54" w:rsidP="00FD7CFA">
      <w:pPr>
        <w:pStyle w:val="ListParagraph"/>
        <w:spacing w:after="0" w:line="240" w:lineRule="auto"/>
        <w:ind w:left="0" w:firstLine="36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The change in the prevailing system makes the hospital management department analyze the costs of the patient care, and makes efforts to effectively reduce costs effectively by using clinical </w:t>
      </w:r>
      <w:proofErr w:type="spellStart"/>
      <w:r w:rsidRPr="005C446D">
        <w:rPr>
          <w:rFonts w:ascii="Times New Roman" w:hAnsi="Times New Roman"/>
          <w:color w:val="000000" w:themeColor="text1"/>
          <w:sz w:val="24"/>
          <w:szCs w:val="24"/>
          <w:lang w:val="en"/>
        </w:rPr>
        <w:t>phatway</w:t>
      </w:r>
      <w:proofErr w:type="spellEnd"/>
      <w:r w:rsidRPr="005C446D">
        <w:rPr>
          <w:rFonts w:ascii="Times New Roman" w:hAnsi="Times New Roman"/>
          <w:color w:val="000000" w:themeColor="text1"/>
          <w:sz w:val="24"/>
          <w:szCs w:val="24"/>
          <w:lang w:val="en"/>
        </w:rPr>
        <w:t xml:space="preserve"> guidelines to treat patients. </w:t>
      </w:r>
    </w:p>
    <w:p w14:paraId="7AAD526E" w14:textId="50E7CE6D" w:rsidR="00F11A54" w:rsidRPr="005C446D" w:rsidRDefault="00F11A54" w:rsidP="00FD7CFA">
      <w:pPr>
        <w:pStyle w:val="ListParagraph"/>
        <w:spacing w:after="0" w:line="240" w:lineRule="auto"/>
        <w:ind w:left="0" w:firstLine="36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Head injury is a mechanical trauma to the head either directly or indirectly causing impaired neurological functioning </w:t>
      </w:r>
      <w:proofErr w:type="spellStart"/>
      <w:r w:rsidRPr="005C446D">
        <w:rPr>
          <w:rFonts w:ascii="Times New Roman" w:hAnsi="Times New Roman"/>
          <w:color w:val="000000" w:themeColor="text1"/>
          <w:sz w:val="24"/>
          <w:szCs w:val="24"/>
          <w:lang w:val="en"/>
        </w:rPr>
        <w:t>ie</w:t>
      </w:r>
      <w:proofErr w:type="spellEnd"/>
      <w:r w:rsidRPr="005C446D">
        <w:rPr>
          <w:rFonts w:ascii="Times New Roman" w:hAnsi="Times New Roman"/>
          <w:color w:val="000000" w:themeColor="text1"/>
          <w:sz w:val="24"/>
          <w:szCs w:val="24"/>
          <w:lang w:val="en"/>
        </w:rPr>
        <w:t xml:space="preserve"> physical, cognitive, psychosocial, temporary or permanent psychotherapy.</w:t>
      </w:r>
      <w:r w:rsidRPr="005C446D">
        <w:rPr>
          <w:rFonts w:ascii="Times New Roman" w:hAnsi="Times New Roman"/>
          <w:color w:val="000000" w:themeColor="text1"/>
          <w:sz w:val="24"/>
          <w:szCs w:val="24"/>
          <w:vertAlign w:val="superscript"/>
        </w:rPr>
        <w:t>4</w:t>
      </w:r>
      <w:r w:rsidRPr="005C446D">
        <w:rPr>
          <w:rFonts w:ascii="Times New Roman" w:hAnsi="Times New Roman"/>
          <w:color w:val="000000" w:themeColor="text1"/>
          <w:sz w:val="24"/>
          <w:szCs w:val="24"/>
          <w:lang w:val="en"/>
        </w:rPr>
        <w:t xml:space="preserve"> The incidence of head injuries in the United States (Advance Life Trauma Support (ATLS), 2004) annually reaches 500,000 cases where 10% die, 80% </w:t>
      </w:r>
      <w:r w:rsidR="006D3449" w:rsidRPr="005C446D">
        <w:rPr>
          <w:rFonts w:ascii="Times New Roman" w:hAnsi="Times New Roman"/>
          <w:color w:val="000000" w:themeColor="text1"/>
          <w:sz w:val="24"/>
          <w:szCs w:val="24"/>
          <w:lang w:val="en"/>
        </w:rPr>
        <w:t xml:space="preserve">mild head injury (CKR), 10% moderate head injury (CKS), and 10% severe head injury </w:t>
      </w:r>
      <w:r w:rsidRPr="005C446D">
        <w:rPr>
          <w:rFonts w:ascii="Times New Roman" w:hAnsi="Times New Roman"/>
          <w:color w:val="000000" w:themeColor="text1"/>
          <w:sz w:val="24"/>
          <w:szCs w:val="24"/>
          <w:lang w:val="en"/>
        </w:rPr>
        <w:t>(CKB).</w:t>
      </w:r>
      <w:r w:rsidRPr="005C446D">
        <w:rPr>
          <w:rFonts w:ascii="Times New Roman" w:hAnsi="Times New Roman"/>
          <w:color w:val="000000" w:themeColor="text1"/>
          <w:sz w:val="24"/>
          <w:szCs w:val="24"/>
          <w:vertAlign w:val="superscript"/>
        </w:rPr>
        <w:t>5</w:t>
      </w:r>
      <w:r w:rsidRPr="005C446D">
        <w:rPr>
          <w:rFonts w:ascii="Times New Roman" w:hAnsi="Times New Roman"/>
          <w:color w:val="000000" w:themeColor="text1"/>
          <w:sz w:val="24"/>
          <w:szCs w:val="24"/>
          <w:lang w:val="en"/>
        </w:rPr>
        <w:t xml:space="preserve"> The Defense Centers of </w:t>
      </w:r>
      <w:proofErr w:type="spellStart"/>
      <w:r w:rsidRPr="005C446D">
        <w:rPr>
          <w:rFonts w:ascii="Times New Roman" w:hAnsi="Times New Roman"/>
          <w:color w:val="000000" w:themeColor="text1"/>
          <w:sz w:val="24"/>
          <w:szCs w:val="24"/>
          <w:lang w:val="en"/>
        </w:rPr>
        <w:t>Exellence</w:t>
      </w:r>
      <w:proofErr w:type="spellEnd"/>
      <w:r w:rsidRPr="005C446D">
        <w:rPr>
          <w:rFonts w:ascii="Times New Roman" w:hAnsi="Times New Roman"/>
          <w:color w:val="000000" w:themeColor="text1"/>
          <w:sz w:val="24"/>
          <w:szCs w:val="24"/>
          <w:lang w:val="en"/>
        </w:rPr>
        <w:t xml:space="preserve"> (2012) study showed more than 244,000 people experienced head trauma, 77% of whom had mild head trauma.</w:t>
      </w:r>
      <w:r w:rsidRPr="005C446D">
        <w:rPr>
          <w:rFonts w:ascii="Times New Roman" w:hAnsi="Times New Roman"/>
          <w:color w:val="000000" w:themeColor="text1"/>
          <w:sz w:val="24"/>
          <w:szCs w:val="24"/>
          <w:vertAlign w:val="superscript"/>
        </w:rPr>
        <w:t xml:space="preserve"> 6</w:t>
      </w:r>
    </w:p>
    <w:p w14:paraId="66403800" w14:textId="77777777" w:rsidR="00F11A54" w:rsidRPr="005C446D" w:rsidRDefault="00F11A54" w:rsidP="00FD7CFA">
      <w:pPr>
        <w:pStyle w:val="ListParagraph"/>
        <w:spacing w:after="0" w:line="240" w:lineRule="auto"/>
        <w:ind w:left="0" w:firstLine="360"/>
        <w:jc w:val="both"/>
        <w:rPr>
          <w:rFonts w:ascii="Times New Roman" w:hAnsi="Times New Roman"/>
          <w:color w:val="000000" w:themeColor="text1"/>
          <w:sz w:val="24"/>
          <w:szCs w:val="24"/>
          <w:vertAlign w:val="superscript"/>
        </w:rPr>
      </w:pPr>
      <w:r w:rsidRPr="005C446D">
        <w:rPr>
          <w:rFonts w:ascii="Times New Roman" w:hAnsi="Times New Roman"/>
          <w:color w:val="000000" w:themeColor="text1"/>
          <w:sz w:val="24"/>
          <w:szCs w:val="24"/>
          <w:lang w:val="en"/>
        </w:rPr>
        <w:t xml:space="preserve">One of the hospitals in Jakarta, </w:t>
      </w:r>
      <w:proofErr w:type="spellStart"/>
      <w:r w:rsidRPr="005C446D">
        <w:rPr>
          <w:rFonts w:ascii="Times New Roman" w:hAnsi="Times New Roman"/>
          <w:color w:val="000000" w:themeColor="text1"/>
          <w:sz w:val="24"/>
          <w:szCs w:val="24"/>
          <w:lang w:val="en"/>
        </w:rPr>
        <w:t>Mangunkusumo</w:t>
      </w:r>
      <w:proofErr w:type="spellEnd"/>
      <w:r w:rsidRPr="005C446D">
        <w:rPr>
          <w:rFonts w:ascii="Times New Roman" w:hAnsi="Times New Roman"/>
          <w:color w:val="000000" w:themeColor="text1"/>
          <w:sz w:val="24"/>
          <w:szCs w:val="24"/>
          <w:lang w:val="en"/>
        </w:rPr>
        <w:t xml:space="preserve"> Hospital has a CKR incidence rate of 60% -70% of patients, 15% -20% CKS, and 10% CKB. The highest mortality rate of 35% - 50% due to CKB and 5% -10% CKS.</w:t>
      </w:r>
      <w:r w:rsidRPr="005C446D">
        <w:rPr>
          <w:rFonts w:ascii="Times New Roman" w:hAnsi="Times New Roman"/>
          <w:color w:val="000000" w:themeColor="text1"/>
          <w:sz w:val="24"/>
          <w:szCs w:val="24"/>
          <w:vertAlign w:val="superscript"/>
        </w:rPr>
        <w:t xml:space="preserve"> 4</w:t>
      </w:r>
      <w:r w:rsidRPr="005C446D">
        <w:rPr>
          <w:rFonts w:ascii="Times New Roman" w:hAnsi="Times New Roman"/>
          <w:color w:val="000000" w:themeColor="text1"/>
          <w:sz w:val="24"/>
          <w:szCs w:val="24"/>
          <w:lang w:val="en"/>
        </w:rPr>
        <w:t xml:space="preserve"> In addition Indonesia is also ranked first incident head injury caused by traffic accidents of 33.2%. According to data from Basic Health Research (</w:t>
      </w:r>
      <w:proofErr w:type="spellStart"/>
      <w:r w:rsidRPr="005C446D">
        <w:rPr>
          <w:rFonts w:ascii="Times New Roman" w:hAnsi="Times New Roman"/>
          <w:color w:val="000000" w:themeColor="text1"/>
          <w:sz w:val="24"/>
          <w:szCs w:val="24"/>
          <w:lang w:val="en"/>
        </w:rPr>
        <w:t>Riskesdas</w:t>
      </w:r>
      <w:proofErr w:type="spellEnd"/>
      <w:r w:rsidRPr="005C446D">
        <w:rPr>
          <w:rFonts w:ascii="Times New Roman" w:hAnsi="Times New Roman"/>
          <w:color w:val="000000" w:themeColor="text1"/>
          <w:sz w:val="24"/>
          <w:szCs w:val="24"/>
          <w:lang w:val="en"/>
        </w:rPr>
        <w:t>) 2007, 18.9% of traffic casualties suffered head injury.</w:t>
      </w:r>
      <w:r w:rsidRPr="005C446D">
        <w:rPr>
          <w:rFonts w:ascii="Times New Roman" w:hAnsi="Times New Roman"/>
          <w:color w:val="000000" w:themeColor="text1"/>
          <w:sz w:val="24"/>
          <w:szCs w:val="24"/>
          <w:vertAlign w:val="superscript"/>
        </w:rPr>
        <w:t>7</w:t>
      </w:r>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Polda</w:t>
      </w:r>
      <w:proofErr w:type="spellEnd"/>
      <w:r w:rsidRPr="005C446D">
        <w:rPr>
          <w:rFonts w:ascii="Times New Roman" w:hAnsi="Times New Roman"/>
          <w:color w:val="000000" w:themeColor="text1"/>
          <w:sz w:val="24"/>
          <w:szCs w:val="24"/>
          <w:lang w:val="en"/>
        </w:rPr>
        <w:t xml:space="preserve"> DIY data shows that in 2012 there were 1,548 incidents in </w:t>
      </w:r>
      <w:proofErr w:type="spellStart"/>
      <w:r w:rsidRPr="005C446D">
        <w:rPr>
          <w:rFonts w:ascii="Times New Roman" w:hAnsi="Times New Roman"/>
          <w:color w:val="000000" w:themeColor="text1"/>
          <w:sz w:val="24"/>
          <w:szCs w:val="24"/>
          <w:lang w:val="en"/>
        </w:rPr>
        <w:t>Sleman</w:t>
      </w:r>
      <w:proofErr w:type="spellEnd"/>
      <w:r w:rsidRPr="005C446D">
        <w:rPr>
          <w:rFonts w:ascii="Times New Roman" w:hAnsi="Times New Roman"/>
          <w:color w:val="000000" w:themeColor="text1"/>
          <w:sz w:val="24"/>
          <w:szCs w:val="24"/>
          <w:lang w:val="en"/>
        </w:rPr>
        <w:t xml:space="preserve">, 1,420 in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678 in Yogyakarta, 453 in </w:t>
      </w:r>
      <w:proofErr w:type="spellStart"/>
      <w:r w:rsidRPr="005C446D">
        <w:rPr>
          <w:rFonts w:ascii="Times New Roman" w:hAnsi="Times New Roman"/>
          <w:color w:val="000000" w:themeColor="text1"/>
          <w:sz w:val="24"/>
          <w:szCs w:val="24"/>
          <w:lang w:val="en"/>
        </w:rPr>
        <w:t>Gunung</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Kidul</w:t>
      </w:r>
      <w:proofErr w:type="spellEnd"/>
      <w:r w:rsidRPr="005C446D">
        <w:rPr>
          <w:rFonts w:ascii="Times New Roman" w:hAnsi="Times New Roman"/>
          <w:color w:val="000000" w:themeColor="text1"/>
          <w:sz w:val="24"/>
          <w:szCs w:val="24"/>
          <w:lang w:val="en"/>
        </w:rPr>
        <w:t xml:space="preserve"> and 323 in </w:t>
      </w:r>
      <w:proofErr w:type="spellStart"/>
      <w:r w:rsidRPr="005C446D">
        <w:rPr>
          <w:rFonts w:ascii="Times New Roman" w:hAnsi="Times New Roman"/>
          <w:color w:val="000000" w:themeColor="text1"/>
          <w:sz w:val="24"/>
          <w:szCs w:val="24"/>
          <w:lang w:val="en"/>
        </w:rPr>
        <w:t>Kulon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Progo</w:t>
      </w:r>
      <w:proofErr w:type="spellEnd"/>
      <w:r w:rsidRPr="005C446D">
        <w:rPr>
          <w:rFonts w:ascii="Times New Roman" w:hAnsi="Times New Roman"/>
          <w:color w:val="000000" w:themeColor="text1"/>
          <w:sz w:val="24"/>
          <w:szCs w:val="24"/>
          <w:lang w:val="en"/>
        </w:rPr>
        <w:t>.</w:t>
      </w:r>
      <w:r w:rsidRPr="005C446D">
        <w:rPr>
          <w:rFonts w:ascii="Times New Roman" w:hAnsi="Times New Roman"/>
          <w:color w:val="000000" w:themeColor="text1"/>
          <w:sz w:val="24"/>
          <w:szCs w:val="24"/>
          <w:vertAlign w:val="superscript"/>
        </w:rPr>
        <w:t xml:space="preserve"> 8</w:t>
      </w:r>
    </w:p>
    <w:p w14:paraId="48B14386" w14:textId="14FD3080" w:rsidR="00F11A54" w:rsidRPr="005C446D" w:rsidRDefault="00F11A54" w:rsidP="00FD7CFA">
      <w:pPr>
        <w:pStyle w:val="ListParagraph"/>
        <w:spacing w:after="0" w:line="240" w:lineRule="auto"/>
        <w:ind w:left="0" w:firstLine="36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One of the existing hospitals in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Regency is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General Hospital. In accordance with Decree of Minister of Health No.142/</w:t>
      </w:r>
      <w:proofErr w:type="spellStart"/>
      <w:r w:rsidRPr="005C446D">
        <w:rPr>
          <w:rFonts w:ascii="Times New Roman" w:hAnsi="Times New Roman"/>
          <w:color w:val="000000" w:themeColor="text1"/>
          <w:sz w:val="24"/>
          <w:szCs w:val="24"/>
          <w:lang w:val="en"/>
        </w:rPr>
        <w:t>Menkes</w:t>
      </w:r>
      <w:proofErr w:type="spellEnd"/>
      <w:r w:rsidRPr="005C446D">
        <w:rPr>
          <w:rFonts w:ascii="Times New Roman" w:hAnsi="Times New Roman"/>
          <w:color w:val="000000" w:themeColor="text1"/>
          <w:sz w:val="24"/>
          <w:szCs w:val="24"/>
          <w:lang w:val="en"/>
        </w:rPr>
        <w:t xml:space="preserve">/SK/I/2007 concerning the improvement of Class of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from type C to type B Education was inaugurated on 31 January 2007. Number of minor head injured patients who undergo inpatient at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w:t>
      </w:r>
      <w:r w:rsidR="00E626E4" w:rsidRPr="005C446D">
        <w:rPr>
          <w:rFonts w:ascii="Times New Roman" w:hAnsi="Times New Roman"/>
          <w:color w:val="000000" w:themeColor="text1"/>
          <w:sz w:val="24"/>
          <w:szCs w:val="24"/>
          <w:lang w:val="en"/>
        </w:rPr>
        <w:t>Hospital 2016 were found 119</w:t>
      </w:r>
      <w:r w:rsidRPr="005C446D">
        <w:rPr>
          <w:rFonts w:ascii="Times New Roman" w:hAnsi="Times New Roman"/>
          <w:color w:val="000000" w:themeColor="text1"/>
          <w:sz w:val="24"/>
          <w:szCs w:val="24"/>
          <w:lang w:val="en"/>
        </w:rPr>
        <w:t xml:space="preserve"> cases.</w:t>
      </w:r>
    </w:p>
    <w:p w14:paraId="53783841" w14:textId="5408CE09" w:rsidR="00F11A54" w:rsidRPr="005C446D" w:rsidRDefault="00F11A54" w:rsidP="00FD7CFA">
      <w:pPr>
        <w:pStyle w:val="ListParagraph"/>
        <w:spacing w:after="0" w:line="240" w:lineRule="auto"/>
        <w:ind w:left="0" w:firstLine="36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Based on the clinical pathway at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00E626E4" w:rsidRPr="005C446D">
        <w:rPr>
          <w:rFonts w:ascii="Times New Roman" w:hAnsi="Times New Roman"/>
          <w:color w:val="000000" w:themeColor="text1"/>
          <w:sz w:val="24"/>
          <w:szCs w:val="24"/>
          <w:lang w:val="en"/>
        </w:rPr>
        <w:t>Bantul</w:t>
      </w:r>
      <w:proofErr w:type="spellEnd"/>
      <w:r w:rsidR="00E626E4" w:rsidRPr="005C446D">
        <w:rPr>
          <w:rFonts w:ascii="Times New Roman" w:hAnsi="Times New Roman"/>
          <w:color w:val="000000" w:themeColor="text1"/>
          <w:sz w:val="24"/>
          <w:szCs w:val="24"/>
          <w:lang w:val="en"/>
        </w:rPr>
        <w:t xml:space="preserve"> </w:t>
      </w:r>
      <w:r w:rsidRPr="005C446D">
        <w:rPr>
          <w:rFonts w:ascii="Times New Roman" w:hAnsi="Times New Roman"/>
          <w:color w:val="000000" w:themeColor="text1"/>
          <w:sz w:val="24"/>
          <w:szCs w:val="24"/>
          <w:lang w:val="en"/>
        </w:rPr>
        <w:t xml:space="preserve">Hospital, this hospital has never been evaluated for cost calculation based on clinical pathway for </w:t>
      </w:r>
      <w:r w:rsidR="00E626E4" w:rsidRPr="005C446D">
        <w:rPr>
          <w:rFonts w:ascii="Times New Roman" w:hAnsi="Times New Roman"/>
          <w:color w:val="000000" w:themeColor="text1"/>
          <w:sz w:val="24"/>
          <w:szCs w:val="24"/>
          <w:lang w:val="en"/>
        </w:rPr>
        <w:t>mild</w:t>
      </w:r>
      <w:r w:rsidRPr="005C446D">
        <w:rPr>
          <w:rFonts w:ascii="Times New Roman" w:hAnsi="Times New Roman"/>
          <w:color w:val="000000" w:themeColor="text1"/>
          <w:sz w:val="24"/>
          <w:szCs w:val="24"/>
          <w:lang w:val="en"/>
        </w:rPr>
        <w:t xml:space="preserve"> head injury, only in case of appendicitis has been evaluated based on clinical pathway and compared with INA-CBG”s tariff got the positive difference, that is the cost incurred by the hospital is smaller compared with INA-CBG" s tariff claim. One of the cost calculations that exist in the hospital, namely by using unit cost analysis (unit cost).</w:t>
      </w:r>
    </w:p>
    <w:p w14:paraId="461307E1" w14:textId="15A16610" w:rsidR="00F11A54" w:rsidRPr="005C446D" w:rsidRDefault="00987B67" w:rsidP="00FD7CFA">
      <w:pPr>
        <w:pStyle w:val="ListParagraph"/>
        <w:spacing w:after="0" w:line="240" w:lineRule="auto"/>
        <w:ind w:left="0" w:firstLine="36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lastRenderedPageBreak/>
        <w:t>The first activity based costing tally (ABC) accounting system is, tracking the activity and then product costs</w:t>
      </w:r>
      <w:r w:rsidR="00F11A54" w:rsidRPr="005C446D">
        <w:rPr>
          <w:rFonts w:ascii="Times New Roman" w:hAnsi="Times New Roman"/>
          <w:color w:val="000000" w:themeColor="text1"/>
          <w:sz w:val="24"/>
          <w:szCs w:val="24"/>
          <w:lang w:val="en"/>
        </w:rPr>
        <w:t>. ABC (Activity Based Costing) is a financing based on production activity or service. ABC (Activity Based Costing) is an information system that identifies activities undertaken in the production process and tracks the costs of the activity.</w:t>
      </w:r>
      <w:r w:rsidR="002F5954" w:rsidRPr="005C446D">
        <w:rPr>
          <w:rFonts w:ascii="Times New Roman" w:hAnsi="Times New Roman"/>
          <w:color w:val="000000" w:themeColor="text1"/>
          <w:sz w:val="24"/>
          <w:szCs w:val="24"/>
          <w:vertAlign w:val="superscript"/>
        </w:rPr>
        <w:t xml:space="preserve"> 9</w:t>
      </w:r>
    </w:p>
    <w:p w14:paraId="63221CA7" w14:textId="1170A5EE" w:rsidR="00F11A54" w:rsidRPr="005C446D" w:rsidRDefault="00A4197E" w:rsidP="00FD7CFA">
      <w:pPr>
        <w:pStyle w:val="ListParagraph"/>
        <w:spacing w:after="0" w:line="240" w:lineRule="auto"/>
        <w:ind w:left="0" w:firstLine="360"/>
        <w:jc w:val="both"/>
        <w:rPr>
          <w:rFonts w:ascii="Times New Roman" w:hAnsi="Times New Roman"/>
          <w:color w:val="000000" w:themeColor="text1"/>
          <w:sz w:val="24"/>
          <w:szCs w:val="24"/>
        </w:rPr>
      </w:pPr>
      <w:r w:rsidRPr="005C446D">
        <w:rPr>
          <w:rFonts w:ascii="Times New Roman" w:hAnsi="Times New Roman"/>
          <w:color w:val="000000" w:themeColor="text1"/>
          <w:sz w:val="24"/>
          <w:szCs w:val="24"/>
          <w:lang w:val="en"/>
        </w:rPr>
        <w:t xml:space="preserve">Many patients take advantage of BPJS health insurance to get inpatient treatment for mild cases of head injury. With the tariff set by the government, the hospital needs to make adjustments with the tariff. Therefore, we need to do cost analysis of mild head injury patient service in order to minimize the hospital’s loss. Based on this background, the researcher was interested to conduct research entitled “Analysis of Unit Cost in Mild Head Injury Patient with Activity Based Costing Method in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Hospital”</w:t>
      </w:r>
      <w:r w:rsidR="00F11A54" w:rsidRPr="005C446D">
        <w:rPr>
          <w:rFonts w:ascii="Times New Roman" w:hAnsi="Times New Roman"/>
          <w:color w:val="000000" w:themeColor="text1"/>
          <w:sz w:val="24"/>
          <w:szCs w:val="24"/>
        </w:rPr>
        <w:t xml:space="preserve">. </w:t>
      </w:r>
    </w:p>
    <w:p w14:paraId="2EB20B4F" w14:textId="77777777" w:rsidR="00F11A54" w:rsidRPr="005C446D" w:rsidRDefault="00F11A54" w:rsidP="00FD7CFA">
      <w:pPr>
        <w:pStyle w:val="ListParagraph"/>
        <w:spacing w:after="0" w:line="240" w:lineRule="auto"/>
        <w:ind w:left="0" w:firstLine="36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On the basis of the background that has been described previously, then the formulation of the problems raised in this study are:</w:t>
      </w:r>
    </w:p>
    <w:p w14:paraId="7F68AAF7" w14:textId="77777777" w:rsidR="00F11A54" w:rsidRPr="005C446D" w:rsidRDefault="00F11A54" w:rsidP="00FD7CFA">
      <w:pPr>
        <w:pStyle w:val="ListParagraph"/>
        <w:numPr>
          <w:ilvl w:val="0"/>
          <w:numId w:val="1"/>
        </w:numPr>
        <w:spacing w:after="0" w:line="240" w:lineRule="auto"/>
        <w:ind w:left="360"/>
        <w:jc w:val="both"/>
        <w:rPr>
          <w:rFonts w:ascii="Times New Roman" w:hAnsi="Times New Roman"/>
          <w:color w:val="000000" w:themeColor="text1"/>
          <w:sz w:val="24"/>
          <w:szCs w:val="24"/>
        </w:rPr>
      </w:pPr>
      <w:r w:rsidRPr="005C446D">
        <w:rPr>
          <w:rFonts w:ascii="Times New Roman" w:hAnsi="Times New Roman"/>
          <w:color w:val="000000" w:themeColor="text1"/>
          <w:sz w:val="24"/>
          <w:szCs w:val="24"/>
          <w:lang w:val="en"/>
        </w:rPr>
        <w:t xml:space="preserve">What is the unit cost of CKR patients calculated using Activity Based Costing (ABC) method at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Hospital?</w:t>
      </w:r>
    </w:p>
    <w:p w14:paraId="6D73BAB1" w14:textId="77777777" w:rsidR="00F11A54" w:rsidRPr="005C446D" w:rsidRDefault="00F11A54" w:rsidP="00FD7CFA">
      <w:pPr>
        <w:pStyle w:val="ListParagraph"/>
        <w:numPr>
          <w:ilvl w:val="0"/>
          <w:numId w:val="1"/>
        </w:numPr>
        <w:spacing w:after="0" w:line="240" w:lineRule="auto"/>
        <w:ind w:left="360"/>
        <w:jc w:val="both"/>
        <w:rPr>
          <w:rFonts w:ascii="Times New Roman" w:hAnsi="Times New Roman"/>
          <w:color w:val="000000" w:themeColor="text1"/>
          <w:sz w:val="24"/>
          <w:szCs w:val="24"/>
        </w:rPr>
      </w:pPr>
      <w:r w:rsidRPr="005C446D">
        <w:rPr>
          <w:rFonts w:ascii="Times New Roman" w:hAnsi="Times New Roman"/>
          <w:color w:val="000000" w:themeColor="text1"/>
          <w:sz w:val="24"/>
          <w:szCs w:val="24"/>
          <w:lang w:val="en"/>
        </w:rPr>
        <w:t xml:space="preserve">Is there any difference between unit cost of CKR patient using Activity Based Costing (ABC) method with real cost in CKR patient at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Hospital?</w:t>
      </w:r>
    </w:p>
    <w:p w14:paraId="0BCE06F9" w14:textId="77777777" w:rsidR="00F11A54" w:rsidRPr="005C446D" w:rsidRDefault="00F11A54" w:rsidP="00FD7CFA">
      <w:pPr>
        <w:pStyle w:val="ListParagraph"/>
        <w:numPr>
          <w:ilvl w:val="0"/>
          <w:numId w:val="1"/>
        </w:numPr>
        <w:spacing w:after="0" w:line="240" w:lineRule="auto"/>
        <w:ind w:left="360"/>
        <w:jc w:val="both"/>
        <w:rPr>
          <w:rFonts w:ascii="Times New Roman" w:hAnsi="Times New Roman"/>
          <w:color w:val="000000" w:themeColor="text1"/>
          <w:sz w:val="24"/>
          <w:szCs w:val="24"/>
        </w:rPr>
      </w:pPr>
      <w:r w:rsidRPr="005C446D">
        <w:rPr>
          <w:rFonts w:ascii="Times New Roman" w:hAnsi="Times New Roman"/>
          <w:color w:val="000000" w:themeColor="text1"/>
          <w:sz w:val="24"/>
          <w:szCs w:val="24"/>
          <w:lang w:val="en"/>
        </w:rPr>
        <w:t>Is there any gap/</w:t>
      </w:r>
      <w:proofErr w:type="spellStart"/>
      <w:r w:rsidRPr="005C446D">
        <w:rPr>
          <w:rFonts w:ascii="Times New Roman" w:hAnsi="Times New Roman"/>
          <w:color w:val="000000" w:themeColor="text1"/>
          <w:sz w:val="24"/>
          <w:szCs w:val="24"/>
          <w:lang w:val="en"/>
        </w:rPr>
        <w:t>differencebetween</w:t>
      </w:r>
      <w:proofErr w:type="spellEnd"/>
      <w:r w:rsidRPr="005C446D">
        <w:rPr>
          <w:rFonts w:ascii="Times New Roman" w:hAnsi="Times New Roman"/>
          <w:color w:val="000000" w:themeColor="text1"/>
          <w:sz w:val="24"/>
          <w:szCs w:val="24"/>
          <w:lang w:val="en"/>
        </w:rPr>
        <w:t xml:space="preserve"> unit cost of CKR patient by using Activity Based Costing method with INA CBG'S tariff in CKR patient at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Hospital?</w:t>
      </w:r>
    </w:p>
    <w:p w14:paraId="18C82747" w14:textId="77777777" w:rsidR="00621C80" w:rsidRPr="005C446D" w:rsidRDefault="00621C80" w:rsidP="00FD7CFA">
      <w:pPr>
        <w:pStyle w:val="ListParagraph"/>
        <w:spacing w:after="0" w:line="240" w:lineRule="auto"/>
        <w:ind w:left="360"/>
        <w:jc w:val="both"/>
        <w:rPr>
          <w:rFonts w:ascii="Times New Roman" w:hAnsi="Times New Roman"/>
          <w:color w:val="000000" w:themeColor="text1"/>
          <w:sz w:val="24"/>
          <w:szCs w:val="24"/>
        </w:rPr>
      </w:pPr>
    </w:p>
    <w:p w14:paraId="79EE3CDE" w14:textId="77777777" w:rsidR="00F11A54" w:rsidRDefault="00F11A54" w:rsidP="00E3734B">
      <w:pPr>
        <w:jc w:val="center"/>
        <w:rPr>
          <w:rFonts w:ascii="Times New Roman" w:eastAsia="Cambria" w:hAnsi="Times New Roman" w:cs="Times New Roman"/>
          <w:b/>
          <w:color w:val="000000" w:themeColor="text1"/>
          <w:sz w:val="24"/>
        </w:rPr>
      </w:pPr>
      <w:r w:rsidRPr="005C446D">
        <w:rPr>
          <w:rFonts w:ascii="Times New Roman" w:eastAsia="Cambria" w:hAnsi="Times New Roman" w:cs="Times New Roman"/>
          <w:b/>
          <w:color w:val="000000" w:themeColor="text1"/>
          <w:sz w:val="24"/>
        </w:rPr>
        <w:t>RESEARCH METHOD</w:t>
      </w:r>
    </w:p>
    <w:p w14:paraId="17072D34" w14:textId="77777777" w:rsidR="00E3734B" w:rsidRPr="005C446D" w:rsidRDefault="00E3734B" w:rsidP="00E3734B">
      <w:pPr>
        <w:jc w:val="center"/>
        <w:rPr>
          <w:rFonts w:ascii="Times New Roman" w:eastAsia="Cambria" w:hAnsi="Times New Roman" w:cs="Times New Roman"/>
          <w:b/>
          <w:color w:val="000000" w:themeColor="text1"/>
          <w:sz w:val="24"/>
        </w:rPr>
      </w:pPr>
    </w:p>
    <w:p w14:paraId="43A21C9D" w14:textId="143BE72D" w:rsidR="00F11A54" w:rsidRPr="005C446D" w:rsidRDefault="00F11A54" w:rsidP="00FD7CFA">
      <w:pPr>
        <w:pStyle w:val="ListParagraph"/>
        <w:spacing w:after="0" w:line="240" w:lineRule="auto"/>
        <w:ind w:left="0" w:firstLine="357"/>
        <w:jc w:val="both"/>
        <w:rPr>
          <w:rFonts w:ascii="Times New Roman" w:hAnsi="Times New Roman"/>
          <w:color w:val="000000" w:themeColor="text1"/>
          <w:sz w:val="24"/>
          <w:szCs w:val="24"/>
          <w:vertAlign w:val="superscript"/>
        </w:rPr>
      </w:pPr>
      <w:r w:rsidRPr="005C446D">
        <w:rPr>
          <w:rFonts w:ascii="Times New Roman" w:hAnsi="Times New Roman"/>
          <w:color w:val="000000" w:themeColor="text1"/>
          <w:sz w:val="24"/>
          <w:szCs w:val="24"/>
          <w:lang w:val="en"/>
        </w:rPr>
        <w:t>The type of this research was descriptive by using quantitative approach. Cost data in this research was cost data in 2016 which was processed in accordance with unit cost calculation step by using Activity Based Costing (ABC) method.</w:t>
      </w:r>
      <w:r w:rsidR="002F5954" w:rsidRPr="005C446D">
        <w:rPr>
          <w:rFonts w:ascii="Times New Roman" w:hAnsi="Times New Roman"/>
          <w:color w:val="000000" w:themeColor="text1"/>
          <w:sz w:val="24"/>
          <w:szCs w:val="24"/>
          <w:vertAlign w:val="superscript"/>
        </w:rPr>
        <w:t xml:space="preserve"> 10</w:t>
      </w:r>
    </w:p>
    <w:p w14:paraId="3D309890" w14:textId="77777777" w:rsidR="00F11A54" w:rsidRPr="005C446D" w:rsidRDefault="00F11A54" w:rsidP="00FD7CFA">
      <w:pPr>
        <w:pStyle w:val="ListParagraph"/>
        <w:spacing w:after="0" w:line="240" w:lineRule="auto"/>
        <w:ind w:left="3" w:firstLine="360"/>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Subjects in this study were the chief financial officer, Surgical Doctor, Head of </w:t>
      </w:r>
      <w:proofErr w:type="spellStart"/>
      <w:r w:rsidRPr="005C446D">
        <w:rPr>
          <w:rFonts w:ascii="Times New Roman" w:hAnsi="Times New Roman"/>
          <w:color w:val="000000" w:themeColor="text1"/>
          <w:sz w:val="24"/>
          <w:szCs w:val="24"/>
        </w:rPr>
        <w:t>Melati</w:t>
      </w:r>
      <w:proofErr w:type="spellEnd"/>
      <w:r w:rsidRPr="005C446D">
        <w:rPr>
          <w:rFonts w:ascii="Times New Roman" w:hAnsi="Times New Roman"/>
          <w:color w:val="000000" w:themeColor="text1"/>
          <w:sz w:val="24"/>
          <w:szCs w:val="24"/>
        </w:rPr>
        <w:t xml:space="preserve"> Ward, pharmacy officer, medical record officer and Patient mild head injury. The object of this study were all activities that occurred in the care of inpatient class III with the diagnosis of mild head injury until the patient came home from the hospital.</w:t>
      </w:r>
    </w:p>
    <w:p w14:paraId="0C59AAE0" w14:textId="77777777" w:rsidR="00F11A54" w:rsidRPr="005C446D" w:rsidRDefault="00F11A54" w:rsidP="00FD7CFA">
      <w:pPr>
        <w:pStyle w:val="ListParagraph"/>
        <w:spacing w:after="0" w:line="240" w:lineRule="auto"/>
        <w:ind w:left="3" w:firstLine="360"/>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The data analysis technique was done by taking primary data conducted by interview and observation, and secondary data obtained from clinical pathway of mild head injury patient and RSUD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 xml:space="preserve"> Hospital record. While secondary data retrieval in this research was clinical pathway of mild head injury patient and also medical records of RSUD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w:t>
      </w:r>
    </w:p>
    <w:p w14:paraId="66FD0FB1" w14:textId="77777777" w:rsidR="00F11A54" w:rsidRPr="005C446D" w:rsidRDefault="00F11A54" w:rsidP="00FD7CFA">
      <w:pPr>
        <w:pStyle w:val="ListParagraph"/>
        <w:spacing w:after="0" w:line="240" w:lineRule="auto"/>
        <w:ind w:left="360" w:firstLine="360"/>
        <w:jc w:val="both"/>
        <w:rPr>
          <w:rFonts w:ascii="Times New Roman" w:hAnsi="Times New Roman"/>
          <w:color w:val="000000" w:themeColor="text1"/>
          <w:sz w:val="24"/>
          <w:szCs w:val="24"/>
        </w:rPr>
      </w:pPr>
    </w:p>
    <w:p w14:paraId="154FDB9C" w14:textId="77777777" w:rsidR="00F11A54" w:rsidRDefault="00F11A54" w:rsidP="00E3734B">
      <w:pPr>
        <w:jc w:val="center"/>
        <w:rPr>
          <w:rFonts w:ascii="Times New Roman" w:hAnsi="Times New Roman"/>
          <w:b/>
          <w:color w:val="000000" w:themeColor="text1"/>
          <w:sz w:val="24"/>
          <w:szCs w:val="24"/>
          <w:lang w:val="en"/>
        </w:rPr>
      </w:pPr>
      <w:r w:rsidRPr="005C446D">
        <w:rPr>
          <w:rFonts w:ascii="Times New Roman" w:eastAsia="Cambria" w:hAnsi="Times New Roman" w:cs="Times New Roman"/>
          <w:b/>
          <w:color w:val="000000" w:themeColor="text1"/>
          <w:sz w:val="24"/>
        </w:rPr>
        <w:t>RESULTS</w:t>
      </w:r>
      <w:r w:rsidRPr="005C446D">
        <w:rPr>
          <w:rFonts w:ascii="Times New Roman" w:hAnsi="Times New Roman"/>
          <w:b/>
          <w:color w:val="000000" w:themeColor="text1"/>
          <w:sz w:val="24"/>
          <w:szCs w:val="24"/>
          <w:lang w:val="en"/>
        </w:rPr>
        <w:t xml:space="preserve"> AND DISCUSSION</w:t>
      </w:r>
    </w:p>
    <w:p w14:paraId="095DE90E" w14:textId="77777777" w:rsidR="00E3734B" w:rsidRPr="005C446D" w:rsidRDefault="00E3734B" w:rsidP="00E3734B">
      <w:pPr>
        <w:jc w:val="center"/>
        <w:rPr>
          <w:rFonts w:ascii="Times New Roman" w:hAnsi="Times New Roman"/>
          <w:b/>
          <w:color w:val="000000" w:themeColor="text1"/>
          <w:sz w:val="24"/>
          <w:szCs w:val="24"/>
          <w:lang w:val="en"/>
        </w:rPr>
      </w:pPr>
    </w:p>
    <w:p w14:paraId="33A8AF23" w14:textId="74F5D2B5" w:rsidR="00F11A54" w:rsidRPr="005C446D" w:rsidRDefault="002F5954" w:rsidP="00FD7CFA">
      <w:pPr>
        <w:pStyle w:val="ListParagraph"/>
        <w:spacing w:after="0" w:line="240" w:lineRule="auto"/>
        <w:ind w:left="3" w:firstLine="360"/>
        <w:jc w:val="both"/>
        <w:rPr>
          <w:rFonts w:ascii="Times New Roman" w:hAnsi="Times New Roman"/>
          <w:color w:val="000000" w:themeColor="text1"/>
          <w:sz w:val="24"/>
          <w:szCs w:val="24"/>
        </w:rPr>
      </w:pPr>
      <w:r w:rsidRPr="005C446D">
        <w:rPr>
          <w:rFonts w:ascii="Times New Roman" w:hAnsi="Times New Roman"/>
          <w:color w:val="000000" w:themeColor="text1"/>
          <w:sz w:val="24"/>
          <w:szCs w:val="24"/>
          <w:lang w:val="en"/>
        </w:rPr>
        <w:t xml:space="preserve">According to  Baker (1998) </w:t>
      </w:r>
      <w:r w:rsidR="00F11A54" w:rsidRPr="005C446D">
        <w:rPr>
          <w:rFonts w:ascii="Times New Roman" w:hAnsi="Times New Roman"/>
          <w:color w:val="000000" w:themeColor="text1"/>
          <w:sz w:val="24"/>
          <w:szCs w:val="24"/>
        </w:rPr>
        <w:t xml:space="preserve">Unit cost calculation by Activity Based Costing method on Inpatient of Mild Head Injury in </w:t>
      </w:r>
      <w:proofErr w:type="spellStart"/>
      <w:r w:rsidR="00F11A54" w:rsidRPr="005C446D">
        <w:rPr>
          <w:rFonts w:ascii="Times New Roman" w:hAnsi="Times New Roman"/>
          <w:color w:val="000000" w:themeColor="text1"/>
          <w:sz w:val="24"/>
          <w:szCs w:val="24"/>
        </w:rPr>
        <w:t>Panembahan</w:t>
      </w:r>
      <w:proofErr w:type="spellEnd"/>
      <w:r w:rsidR="00F11A54" w:rsidRPr="005C446D">
        <w:rPr>
          <w:rFonts w:ascii="Times New Roman" w:hAnsi="Times New Roman"/>
          <w:color w:val="000000" w:themeColor="text1"/>
          <w:sz w:val="24"/>
          <w:szCs w:val="24"/>
        </w:rPr>
        <w:t xml:space="preserve"> </w:t>
      </w:r>
      <w:proofErr w:type="spellStart"/>
      <w:r w:rsidR="00F11A54" w:rsidRPr="005C446D">
        <w:rPr>
          <w:rFonts w:ascii="Times New Roman" w:hAnsi="Times New Roman"/>
          <w:color w:val="000000" w:themeColor="text1"/>
          <w:sz w:val="24"/>
          <w:szCs w:val="24"/>
        </w:rPr>
        <w:t>Senopati</w:t>
      </w:r>
      <w:proofErr w:type="spellEnd"/>
      <w:r w:rsidR="00F11A54" w:rsidRPr="005C446D">
        <w:rPr>
          <w:rFonts w:ascii="Times New Roman" w:hAnsi="Times New Roman"/>
          <w:color w:val="000000" w:themeColor="text1"/>
          <w:sz w:val="24"/>
          <w:szCs w:val="24"/>
        </w:rPr>
        <w:t xml:space="preserve"> </w:t>
      </w:r>
      <w:proofErr w:type="spellStart"/>
      <w:r w:rsidR="00A65D13" w:rsidRPr="005C446D">
        <w:rPr>
          <w:rFonts w:ascii="Times New Roman" w:hAnsi="Times New Roman"/>
          <w:color w:val="000000" w:themeColor="text1"/>
          <w:sz w:val="24"/>
          <w:szCs w:val="24"/>
        </w:rPr>
        <w:t>Bantul</w:t>
      </w:r>
      <w:proofErr w:type="spellEnd"/>
      <w:r w:rsidR="00A65D13" w:rsidRPr="005C446D">
        <w:rPr>
          <w:rFonts w:ascii="Times New Roman" w:hAnsi="Times New Roman"/>
          <w:color w:val="000000" w:themeColor="text1"/>
          <w:sz w:val="24"/>
          <w:szCs w:val="24"/>
        </w:rPr>
        <w:t xml:space="preserve"> </w:t>
      </w:r>
      <w:r w:rsidR="00F11A54" w:rsidRPr="005C446D">
        <w:rPr>
          <w:rFonts w:ascii="Times New Roman" w:hAnsi="Times New Roman"/>
          <w:color w:val="000000" w:themeColor="text1"/>
          <w:sz w:val="24"/>
          <w:szCs w:val="24"/>
        </w:rPr>
        <w:t>Hosp</w:t>
      </w:r>
      <w:r w:rsidRPr="005C446D">
        <w:rPr>
          <w:rFonts w:ascii="Times New Roman" w:hAnsi="Times New Roman"/>
          <w:color w:val="000000" w:themeColor="text1"/>
          <w:sz w:val="24"/>
          <w:szCs w:val="24"/>
        </w:rPr>
        <w:t>ital used the following stages:</w:t>
      </w:r>
      <w:r w:rsidR="00A65D13" w:rsidRPr="005C446D">
        <w:rPr>
          <w:rFonts w:ascii="Times New Roman" w:hAnsi="Times New Roman"/>
          <w:color w:val="000000" w:themeColor="text1"/>
          <w:sz w:val="24"/>
          <w:szCs w:val="24"/>
          <w:vertAlign w:val="superscript"/>
        </w:rPr>
        <w:t xml:space="preserve"> 11</w:t>
      </w:r>
    </w:p>
    <w:p w14:paraId="47D93BEB" w14:textId="77777777" w:rsidR="005C14D1" w:rsidRPr="005C446D" w:rsidRDefault="005C14D1" w:rsidP="00FD7CFA">
      <w:pPr>
        <w:pStyle w:val="ListParagraph"/>
        <w:spacing w:after="0" w:line="240" w:lineRule="auto"/>
        <w:ind w:left="3" w:firstLine="360"/>
        <w:jc w:val="both"/>
        <w:rPr>
          <w:rFonts w:ascii="Times New Roman" w:hAnsi="Times New Roman"/>
          <w:color w:val="000000" w:themeColor="text1"/>
          <w:sz w:val="24"/>
          <w:szCs w:val="24"/>
        </w:rPr>
      </w:pPr>
    </w:p>
    <w:p w14:paraId="77998556" w14:textId="77777777" w:rsidR="00AC74A0" w:rsidRPr="005C446D" w:rsidRDefault="00AC74A0" w:rsidP="00FD7CFA">
      <w:pPr>
        <w:pStyle w:val="ListParagraph"/>
        <w:numPr>
          <w:ilvl w:val="0"/>
          <w:numId w:val="2"/>
        </w:numPr>
        <w:spacing w:after="0" w:line="240" w:lineRule="auto"/>
        <w:ind w:left="284" w:hanging="284"/>
        <w:jc w:val="both"/>
        <w:rPr>
          <w:rFonts w:ascii="Times New Roman" w:hAnsi="Times New Roman"/>
          <w:color w:val="000000" w:themeColor="text1"/>
          <w:sz w:val="24"/>
          <w:szCs w:val="24"/>
          <w:lang w:val="id-ID"/>
        </w:rPr>
      </w:pPr>
      <w:r w:rsidRPr="005C446D">
        <w:rPr>
          <w:rFonts w:ascii="Times New Roman" w:hAnsi="Times New Roman"/>
          <w:b/>
          <w:color w:val="000000" w:themeColor="text1"/>
          <w:sz w:val="24"/>
          <w:szCs w:val="24"/>
        </w:rPr>
        <w:t xml:space="preserve">Determining </w:t>
      </w:r>
      <w:proofErr w:type="spellStart"/>
      <w:r w:rsidRPr="005C446D">
        <w:rPr>
          <w:rFonts w:ascii="Times New Roman" w:hAnsi="Times New Roman"/>
          <w:b/>
          <w:color w:val="000000" w:themeColor="text1"/>
          <w:sz w:val="24"/>
          <w:szCs w:val="24"/>
        </w:rPr>
        <w:t>actvity</w:t>
      </w:r>
      <w:proofErr w:type="spellEnd"/>
      <w:r w:rsidRPr="005C446D">
        <w:rPr>
          <w:rFonts w:ascii="Times New Roman" w:hAnsi="Times New Roman"/>
          <w:b/>
          <w:color w:val="000000" w:themeColor="text1"/>
          <w:sz w:val="24"/>
          <w:szCs w:val="24"/>
        </w:rPr>
        <w:t xml:space="preserve"> centers related, cost and cost driver of each cost category. </w:t>
      </w:r>
    </w:p>
    <w:p w14:paraId="579D2BE7" w14:textId="6579049A" w:rsidR="00AC74A0" w:rsidRPr="005C446D" w:rsidRDefault="00AC74A0" w:rsidP="00FD7CFA">
      <w:pPr>
        <w:pStyle w:val="ListParagraph"/>
        <w:spacing w:after="0" w:line="240" w:lineRule="auto"/>
        <w:ind w:left="284"/>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Table 1. Center Activities in the Emergency </w:t>
      </w:r>
      <w:proofErr w:type="spellStart"/>
      <w:r w:rsidRPr="005C446D">
        <w:rPr>
          <w:rFonts w:ascii="Times New Roman" w:hAnsi="Times New Roman"/>
          <w:color w:val="000000" w:themeColor="text1"/>
          <w:sz w:val="24"/>
          <w:szCs w:val="24"/>
        </w:rPr>
        <w:t>Instalation</w:t>
      </w:r>
      <w:proofErr w:type="spellEnd"/>
      <w:r w:rsidRPr="005C446D">
        <w:rPr>
          <w:rFonts w:ascii="Times New Roman" w:hAnsi="Times New Roman"/>
          <w:color w:val="000000" w:themeColor="text1"/>
          <w:sz w:val="24"/>
          <w:szCs w:val="24"/>
        </w:rPr>
        <w:t xml:space="preserve"> Unit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1"/>
        <w:gridCol w:w="1645"/>
        <w:gridCol w:w="3592"/>
      </w:tblGrid>
      <w:tr w:rsidR="005C446D" w:rsidRPr="005C446D" w14:paraId="266D493C" w14:textId="77777777" w:rsidTr="00CA791F">
        <w:trPr>
          <w:trHeight w:val="588"/>
          <w:tblHeader/>
        </w:trPr>
        <w:tc>
          <w:tcPr>
            <w:tcW w:w="3551" w:type="dxa"/>
            <w:shd w:val="clear" w:color="auto" w:fill="auto"/>
            <w:vAlign w:val="center"/>
          </w:tcPr>
          <w:p w14:paraId="37217EA4" w14:textId="77777777" w:rsidR="00AC74A0" w:rsidRPr="005C446D" w:rsidRDefault="00AC74A0" w:rsidP="00B20523">
            <w:pPr>
              <w:pStyle w:val="ListParagraph"/>
              <w:spacing w:after="0" w:line="240" w:lineRule="auto"/>
              <w:ind w:left="0"/>
              <w:jc w:val="center"/>
              <w:rPr>
                <w:rFonts w:ascii="Times New Roman" w:hAnsi="Times New Roman"/>
                <w:b/>
                <w:color w:val="000000" w:themeColor="text1"/>
                <w:sz w:val="24"/>
                <w:szCs w:val="24"/>
              </w:rPr>
            </w:pPr>
            <w:r w:rsidRPr="005C446D">
              <w:rPr>
                <w:rFonts w:ascii="Times New Roman" w:hAnsi="Times New Roman"/>
                <w:b/>
                <w:color w:val="000000" w:themeColor="text1"/>
                <w:sz w:val="24"/>
                <w:szCs w:val="24"/>
              </w:rPr>
              <w:t>Activity Center</w:t>
            </w:r>
          </w:p>
        </w:tc>
        <w:tc>
          <w:tcPr>
            <w:tcW w:w="1645" w:type="dxa"/>
            <w:shd w:val="clear" w:color="auto" w:fill="auto"/>
            <w:vAlign w:val="center"/>
          </w:tcPr>
          <w:p w14:paraId="1B0417C5" w14:textId="77777777" w:rsidR="00AC74A0" w:rsidRPr="005C446D" w:rsidRDefault="00AC74A0" w:rsidP="00B20523">
            <w:pPr>
              <w:pStyle w:val="ListParagraph"/>
              <w:spacing w:after="0" w:line="240" w:lineRule="auto"/>
              <w:ind w:left="0"/>
              <w:jc w:val="center"/>
              <w:rPr>
                <w:rFonts w:ascii="Times New Roman" w:hAnsi="Times New Roman"/>
                <w:b/>
                <w:i/>
                <w:color w:val="000000" w:themeColor="text1"/>
                <w:sz w:val="24"/>
                <w:szCs w:val="24"/>
              </w:rPr>
            </w:pPr>
            <w:r w:rsidRPr="005C446D">
              <w:rPr>
                <w:rFonts w:ascii="Times New Roman" w:hAnsi="Times New Roman"/>
                <w:b/>
                <w:i/>
                <w:color w:val="000000" w:themeColor="text1"/>
                <w:sz w:val="24"/>
                <w:szCs w:val="24"/>
              </w:rPr>
              <w:t>First Stage Cost Drivers</w:t>
            </w:r>
          </w:p>
        </w:tc>
        <w:tc>
          <w:tcPr>
            <w:tcW w:w="3592" w:type="dxa"/>
            <w:shd w:val="clear" w:color="auto" w:fill="auto"/>
            <w:vAlign w:val="center"/>
          </w:tcPr>
          <w:p w14:paraId="0710B145" w14:textId="77777777" w:rsidR="00AC74A0" w:rsidRPr="005C446D" w:rsidRDefault="00AC74A0" w:rsidP="00B20523">
            <w:pPr>
              <w:pStyle w:val="ListParagraph"/>
              <w:spacing w:after="0" w:line="240" w:lineRule="auto"/>
              <w:ind w:left="0"/>
              <w:jc w:val="center"/>
              <w:rPr>
                <w:rFonts w:ascii="Times New Roman" w:hAnsi="Times New Roman"/>
                <w:b/>
                <w:i/>
                <w:color w:val="000000" w:themeColor="text1"/>
                <w:sz w:val="24"/>
                <w:szCs w:val="24"/>
              </w:rPr>
            </w:pPr>
            <w:r w:rsidRPr="005C446D">
              <w:rPr>
                <w:rFonts w:ascii="Times New Roman" w:hAnsi="Times New Roman"/>
                <w:b/>
                <w:i/>
                <w:color w:val="000000" w:themeColor="text1"/>
                <w:sz w:val="24"/>
                <w:szCs w:val="24"/>
              </w:rPr>
              <w:t>Second Stage Cost Drivers</w:t>
            </w:r>
          </w:p>
        </w:tc>
      </w:tr>
      <w:tr w:rsidR="005C446D" w:rsidRPr="005C446D" w14:paraId="4AB104C6" w14:textId="77777777" w:rsidTr="00E0195F">
        <w:trPr>
          <w:trHeight w:val="79"/>
        </w:trPr>
        <w:tc>
          <w:tcPr>
            <w:tcW w:w="3551" w:type="dxa"/>
            <w:shd w:val="clear" w:color="auto" w:fill="auto"/>
            <w:vAlign w:val="center"/>
          </w:tcPr>
          <w:p w14:paraId="499F39DE"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Patients Administration</w:t>
            </w:r>
          </w:p>
        </w:tc>
        <w:tc>
          <w:tcPr>
            <w:tcW w:w="1645" w:type="dxa"/>
            <w:shd w:val="clear" w:color="auto" w:fill="auto"/>
            <w:vAlign w:val="center"/>
          </w:tcPr>
          <w:p w14:paraId="7C7BE6E4" w14:textId="77777777" w:rsidR="00AC74A0" w:rsidRPr="005C446D" w:rsidRDefault="00AC74A0" w:rsidP="00B20523">
            <w:pPr>
              <w:pStyle w:val="ListParagraph"/>
              <w:spacing w:after="0" w:line="240" w:lineRule="auto"/>
              <w:ind w:left="0"/>
              <w:jc w:val="center"/>
              <w:rPr>
                <w:rFonts w:ascii="Times New Roman" w:hAnsi="Times New Roman"/>
                <w:color w:val="000000" w:themeColor="text1"/>
                <w:sz w:val="24"/>
                <w:szCs w:val="24"/>
              </w:rPr>
            </w:pPr>
            <w:r w:rsidRPr="005C446D">
              <w:rPr>
                <w:rFonts w:ascii="Times New Roman" w:hAnsi="Times New Roman"/>
                <w:color w:val="000000" w:themeColor="text1"/>
                <w:sz w:val="24"/>
                <w:szCs w:val="24"/>
              </w:rPr>
              <w:t>Time</w:t>
            </w:r>
          </w:p>
        </w:tc>
        <w:tc>
          <w:tcPr>
            <w:tcW w:w="3592" w:type="dxa"/>
            <w:shd w:val="clear" w:color="auto" w:fill="auto"/>
            <w:vAlign w:val="center"/>
          </w:tcPr>
          <w:p w14:paraId="3855B296" w14:textId="3DAB8BAF"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kern w:val="24"/>
                <w:sz w:val="24"/>
                <w:szCs w:val="24"/>
              </w:rPr>
              <w:t>Number of Patients come</w:t>
            </w:r>
          </w:p>
        </w:tc>
      </w:tr>
      <w:tr w:rsidR="005C446D" w:rsidRPr="005C446D" w14:paraId="78507ED3" w14:textId="77777777" w:rsidTr="00E0195F">
        <w:trPr>
          <w:trHeight w:val="79"/>
        </w:trPr>
        <w:tc>
          <w:tcPr>
            <w:tcW w:w="3551" w:type="dxa"/>
            <w:shd w:val="clear" w:color="auto" w:fill="auto"/>
            <w:vAlign w:val="center"/>
          </w:tcPr>
          <w:p w14:paraId="0411096F"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Patients reception</w:t>
            </w:r>
          </w:p>
        </w:tc>
        <w:tc>
          <w:tcPr>
            <w:tcW w:w="1645" w:type="dxa"/>
            <w:shd w:val="clear" w:color="auto" w:fill="auto"/>
            <w:vAlign w:val="center"/>
          </w:tcPr>
          <w:p w14:paraId="1CA39136"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4A068CB3" w14:textId="2D7D5ED3"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Patients come</w:t>
            </w:r>
          </w:p>
        </w:tc>
      </w:tr>
      <w:tr w:rsidR="005C446D" w:rsidRPr="005C446D" w14:paraId="23B4A2A6" w14:textId="77777777" w:rsidTr="00E0195F">
        <w:trPr>
          <w:trHeight w:val="79"/>
        </w:trPr>
        <w:tc>
          <w:tcPr>
            <w:tcW w:w="3551" w:type="dxa"/>
            <w:shd w:val="clear" w:color="auto" w:fill="auto"/>
            <w:vAlign w:val="center"/>
          </w:tcPr>
          <w:p w14:paraId="431E4FA6"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Early checkup of patients</w:t>
            </w:r>
          </w:p>
        </w:tc>
        <w:tc>
          <w:tcPr>
            <w:tcW w:w="1645" w:type="dxa"/>
            <w:shd w:val="clear" w:color="auto" w:fill="auto"/>
            <w:vAlign w:val="center"/>
          </w:tcPr>
          <w:p w14:paraId="7CE27BD4"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17B55CC5" w14:textId="5CB52C9D"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Patients come</w:t>
            </w:r>
          </w:p>
        </w:tc>
      </w:tr>
      <w:tr w:rsidR="005C446D" w:rsidRPr="005C446D" w14:paraId="4FFB8DDF" w14:textId="77777777" w:rsidTr="00E0195F">
        <w:trPr>
          <w:trHeight w:val="79"/>
        </w:trPr>
        <w:tc>
          <w:tcPr>
            <w:tcW w:w="3551" w:type="dxa"/>
            <w:shd w:val="clear" w:color="auto" w:fill="auto"/>
            <w:vAlign w:val="center"/>
          </w:tcPr>
          <w:p w14:paraId="63D06CCE"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Checkup of patients by doctor</w:t>
            </w:r>
          </w:p>
        </w:tc>
        <w:tc>
          <w:tcPr>
            <w:tcW w:w="1645" w:type="dxa"/>
            <w:shd w:val="clear" w:color="auto" w:fill="auto"/>
            <w:vAlign w:val="center"/>
          </w:tcPr>
          <w:p w14:paraId="4DEB0502"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4C2C0653"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patients</w:t>
            </w:r>
          </w:p>
        </w:tc>
      </w:tr>
      <w:tr w:rsidR="005C446D" w:rsidRPr="005C446D" w14:paraId="781E2A4F" w14:textId="77777777" w:rsidTr="009E7F85">
        <w:trPr>
          <w:trHeight w:val="79"/>
        </w:trPr>
        <w:tc>
          <w:tcPr>
            <w:tcW w:w="3551" w:type="dxa"/>
            <w:shd w:val="clear" w:color="auto" w:fill="auto"/>
            <w:vAlign w:val="center"/>
          </w:tcPr>
          <w:p w14:paraId="007E7730"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Vital sign checkup</w:t>
            </w:r>
          </w:p>
        </w:tc>
        <w:tc>
          <w:tcPr>
            <w:tcW w:w="1645" w:type="dxa"/>
            <w:shd w:val="clear" w:color="auto" w:fill="auto"/>
            <w:vAlign w:val="center"/>
          </w:tcPr>
          <w:p w14:paraId="0EAF1161"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6D3A7EC5"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checkup</w:t>
            </w:r>
          </w:p>
        </w:tc>
      </w:tr>
      <w:tr w:rsidR="005C446D" w:rsidRPr="005C446D" w14:paraId="585DAD78" w14:textId="77777777" w:rsidTr="005C14D1">
        <w:trPr>
          <w:trHeight w:val="79"/>
        </w:trPr>
        <w:tc>
          <w:tcPr>
            <w:tcW w:w="3551" w:type="dxa"/>
            <w:shd w:val="clear" w:color="auto" w:fill="auto"/>
            <w:vAlign w:val="center"/>
          </w:tcPr>
          <w:p w14:paraId="384A2018"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lastRenderedPageBreak/>
              <w:t>Writing patient’s medical records</w:t>
            </w:r>
          </w:p>
        </w:tc>
        <w:tc>
          <w:tcPr>
            <w:tcW w:w="1645" w:type="dxa"/>
            <w:shd w:val="clear" w:color="auto" w:fill="auto"/>
            <w:vAlign w:val="center"/>
          </w:tcPr>
          <w:p w14:paraId="0EBE1B41"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2E283A9F"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medical record submission</w:t>
            </w:r>
          </w:p>
        </w:tc>
      </w:tr>
      <w:tr w:rsidR="005C446D" w:rsidRPr="005C446D" w14:paraId="69291A20" w14:textId="77777777" w:rsidTr="009E7F85">
        <w:trPr>
          <w:trHeight w:val="79"/>
        </w:trPr>
        <w:tc>
          <w:tcPr>
            <w:tcW w:w="3551" w:type="dxa"/>
            <w:shd w:val="clear" w:color="auto" w:fill="auto"/>
            <w:vAlign w:val="center"/>
          </w:tcPr>
          <w:p w14:paraId="1CD4A7EB"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Prescription writing</w:t>
            </w:r>
          </w:p>
        </w:tc>
        <w:tc>
          <w:tcPr>
            <w:tcW w:w="1645" w:type="dxa"/>
            <w:shd w:val="clear" w:color="auto" w:fill="auto"/>
            <w:vAlign w:val="center"/>
          </w:tcPr>
          <w:p w14:paraId="253A9540"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537C788A"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prescription</w:t>
            </w:r>
          </w:p>
        </w:tc>
      </w:tr>
      <w:tr w:rsidR="005C446D" w:rsidRPr="005C446D" w14:paraId="5562F933" w14:textId="77777777" w:rsidTr="00E0195F">
        <w:trPr>
          <w:trHeight w:val="79"/>
        </w:trPr>
        <w:tc>
          <w:tcPr>
            <w:tcW w:w="3551" w:type="dxa"/>
            <w:shd w:val="clear" w:color="auto" w:fill="auto"/>
            <w:vAlign w:val="center"/>
          </w:tcPr>
          <w:p w14:paraId="68DC2F37"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Preparing and administering medications</w:t>
            </w:r>
          </w:p>
        </w:tc>
        <w:tc>
          <w:tcPr>
            <w:tcW w:w="1645" w:type="dxa"/>
            <w:shd w:val="clear" w:color="auto" w:fill="auto"/>
            <w:vAlign w:val="center"/>
          </w:tcPr>
          <w:p w14:paraId="620C38E7"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09EFF3A7"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activity</w:t>
            </w:r>
          </w:p>
        </w:tc>
      </w:tr>
      <w:tr w:rsidR="005C446D" w:rsidRPr="005C446D" w14:paraId="1C24F3CB" w14:textId="77777777" w:rsidTr="00E0195F">
        <w:trPr>
          <w:trHeight w:val="79"/>
        </w:trPr>
        <w:tc>
          <w:tcPr>
            <w:tcW w:w="3551" w:type="dxa"/>
            <w:shd w:val="clear" w:color="auto" w:fill="auto"/>
            <w:vAlign w:val="center"/>
          </w:tcPr>
          <w:p w14:paraId="50FF07D2"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Installation of intra vein line</w:t>
            </w:r>
          </w:p>
        </w:tc>
        <w:tc>
          <w:tcPr>
            <w:tcW w:w="1645" w:type="dxa"/>
            <w:shd w:val="clear" w:color="auto" w:fill="auto"/>
            <w:vAlign w:val="center"/>
          </w:tcPr>
          <w:p w14:paraId="62DBEB83"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29E6F3D5"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actions</w:t>
            </w:r>
          </w:p>
        </w:tc>
      </w:tr>
      <w:tr w:rsidR="005C446D" w:rsidRPr="005C446D" w14:paraId="74AB8E1F" w14:textId="77777777" w:rsidTr="00E0195F">
        <w:trPr>
          <w:trHeight w:val="79"/>
        </w:trPr>
        <w:tc>
          <w:tcPr>
            <w:tcW w:w="3551" w:type="dxa"/>
            <w:shd w:val="clear" w:color="auto" w:fill="auto"/>
            <w:vAlign w:val="center"/>
          </w:tcPr>
          <w:p w14:paraId="50A97C2D"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ECG Check</w:t>
            </w:r>
          </w:p>
        </w:tc>
        <w:tc>
          <w:tcPr>
            <w:tcW w:w="1645" w:type="dxa"/>
            <w:shd w:val="clear" w:color="auto" w:fill="auto"/>
            <w:vAlign w:val="center"/>
          </w:tcPr>
          <w:p w14:paraId="110DA47D"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536C1697"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checkup</w:t>
            </w:r>
          </w:p>
        </w:tc>
      </w:tr>
      <w:tr w:rsidR="005C446D" w:rsidRPr="005C446D" w14:paraId="64D4F16B" w14:textId="77777777" w:rsidTr="00E0195F">
        <w:trPr>
          <w:trHeight w:val="79"/>
        </w:trPr>
        <w:tc>
          <w:tcPr>
            <w:tcW w:w="3551" w:type="dxa"/>
            <w:shd w:val="clear" w:color="auto" w:fill="auto"/>
            <w:vAlign w:val="center"/>
          </w:tcPr>
          <w:p w14:paraId="74783159"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Blood sampling</w:t>
            </w:r>
          </w:p>
        </w:tc>
        <w:tc>
          <w:tcPr>
            <w:tcW w:w="1645" w:type="dxa"/>
            <w:shd w:val="clear" w:color="auto" w:fill="auto"/>
            <w:vAlign w:val="center"/>
          </w:tcPr>
          <w:p w14:paraId="420A075D"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15C94125"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activity</w:t>
            </w:r>
          </w:p>
        </w:tc>
      </w:tr>
      <w:tr w:rsidR="005C446D" w:rsidRPr="005C446D" w14:paraId="7FC8D987" w14:textId="77777777" w:rsidTr="005C14D1">
        <w:trPr>
          <w:trHeight w:val="79"/>
        </w:trPr>
        <w:tc>
          <w:tcPr>
            <w:tcW w:w="3551" w:type="dxa"/>
            <w:shd w:val="clear" w:color="auto" w:fill="auto"/>
            <w:vAlign w:val="center"/>
          </w:tcPr>
          <w:p w14:paraId="583E92ED"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Patient delivery to radiology for CT-Scan, and cranium RO</w:t>
            </w:r>
          </w:p>
        </w:tc>
        <w:tc>
          <w:tcPr>
            <w:tcW w:w="1645" w:type="dxa"/>
            <w:shd w:val="clear" w:color="auto" w:fill="auto"/>
            <w:vAlign w:val="center"/>
          </w:tcPr>
          <w:p w14:paraId="73976E01"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13640963"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new patients</w:t>
            </w:r>
          </w:p>
        </w:tc>
      </w:tr>
      <w:tr w:rsidR="005C446D" w:rsidRPr="005C446D" w14:paraId="0E7DA659" w14:textId="77777777" w:rsidTr="005C14D1">
        <w:trPr>
          <w:trHeight w:val="79"/>
        </w:trPr>
        <w:tc>
          <w:tcPr>
            <w:tcW w:w="3551" w:type="dxa"/>
            <w:shd w:val="clear" w:color="auto" w:fill="auto"/>
            <w:vAlign w:val="center"/>
          </w:tcPr>
          <w:p w14:paraId="574E0395"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Installation of identity bracelet</w:t>
            </w:r>
          </w:p>
        </w:tc>
        <w:tc>
          <w:tcPr>
            <w:tcW w:w="1645" w:type="dxa"/>
            <w:shd w:val="clear" w:color="auto" w:fill="auto"/>
            <w:vAlign w:val="center"/>
          </w:tcPr>
          <w:p w14:paraId="66EC4890"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11A8A990"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activity</w:t>
            </w:r>
          </w:p>
        </w:tc>
      </w:tr>
      <w:tr w:rsidR="005C446D" w:rsidRPr="005C446D" w14:paraId="39AB4BE1" w14:textId="77777777" w:rsidTr="005C14D1">
        <w:trPr>
          <w:trHeight w:val="79"/>
        </w:trPr>
        <w:tc>
          <w:tcPr>
            <w:tcW w:w="3551" w:type="dxa"/>
            <w:shd w:val="clear" w:color="auto" w:fill="auto"/>
            <w:vAlign w:val="center"/>
          </w:tcPr>
          <w:p w14:paraId="05635E2E"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Patient delivery to the ward</w:t>
            </w:r>
          </w:p>
        </w:tc>
        <w:tc>
          <w:tcPr>
            <w:tcW w:w="1645" w:type="dxa"/>
            <w:shd w:val="clear" w:color="auto" w:fill="auto"/>
            <w:vAlign w:val="center"/>
          </w:tcPr>
          <w:p w14:paraId="5020C6E1"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147A7A1C"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kern w:val="24"/>
                <w:sz w:val="24"/>
                <w:szCs w:val="24"/>
              </w:rPr>
              <w:t>Number of activity</w:t>
            </w:r>
          </w:p>
        </w:tc>
      </w:tr>
      <w:tr w:rsidR="005C446D" w:rsidRPr="005C446D" w14:paraId="6DE68CB8" w14:textId="77777777" w:rsidTr="005C14D1">
        <w:trPr>
          <w:trHeight w:val="79"/>
        </w:trPr>
        <w:tc>
          <w:tcPr>
            <w:tcW w:w="3551" w:type="dxa"/>
            <w:shd w:val="clear" w:color="auto" w:fill="auto"/>
            <w:vAlign w:val="center"/>
          </w:tcPr>
          <w:p w14:paraId="7B8ACA0E"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Provision of cover letter administration completion</w:t>
            </w:r>
          </w:p>
        </w:tc>
        <w:tc>
          <w:tcPr>
            <w:tcW w:w="1645" w:type="dxa"/>
            <w:shd w:val="clear" w:color="auto" w:fill="auto"/>
            <w:vAlign w:val="center"/>
          </w:tcPr>
          <w:p w14:paraId="16767AB1"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5A4D98AA"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Jumlah</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aktivitas</w:t>
            </w:r>
            <w:proofErr w:type="spellEnd"/>
          </w:p>
        </w:tc>
      </w:tr>
      <w:tr w:rsidR="005C446D" w:rsidRPr="005C446D" w14:paraId="0509DE0A" w14:textId="77777777" w:rsidTr="005C14D1">
        <w:trPr>
          <w:trHeight w:val="79"/>
        </w:trPr>
        <w:tc>
          <w:tcPr>
            <w:tcW w:w="3551" w:type="dxa"/>
            <w:shd w:val="clear" w:color="auto" w:fill="auto"/>
            <w:vAlign w:val="center"/>
          </w:tcPr>
          <w:p w14:paraId="40B15C50"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Completion of the Surgical Polyclinic control letter</w:t>
            </w:r>
          </w:p>
        </w:tc>
        <w:tc>
          <w:tcPr>
            <w:tcW w:w="1645" w:type="dxa"/>
            <w:shd w:val="clear" w:color="auto" w:fill="auto"/>
            <w:vAlign w:val="center"/>
          </w:tcPr>
          <w:p w14:paraId="6F2F516F"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05541081"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Jumlah</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aktivitas</w:t>
            </w:r>
            <w:proofErr w:type="spellEnd"/>
          </w:p>
        </w:tc>
      </w:tr>
      <w:tr w:rsidR="00B20523" w:rsidRPr="005C446D" w14:paraId="0988DEC6" w14:textId="77777777" w:rsidTr="005C14D1">
        <w:trPr>
          <w:trHeight w:val="79"/>
        </w:trPr>
        <w:tc>
          <w:tcPr>
            <w:tcW w:w="3551" w:type="dxa"/>
            <w:shd w:val="clear" w:color="auto" w:fill="auto"/>
            <w:vAlign w:val="center"/>
          </w:tcPr>
          <w:p w14:paraId="6697C972"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Take the patient home</w:t>
            </w:r>
          </w:p>
        </w:tc>
        <w:tc>
          <w:tcPr>
            <w:tcW w:w="1645" w:type="dxa"/>
            <w:shd w:val="clear" w:color="auto" w:fill="auto"/>
            <w:vAlign w:val="center"/>
          </w:tcPr>
          <w:p w14:paraId="681813DF" w14:textId="77777777" w:rsidR="00AC74A0" w:rsidRPr="005C446D" w:rsidRDefault="00AC74A0" w:rsidP="00B20523">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92" w:type="dxa"/>
            <w:shd w:val="clear" w:color="auto" w:fill="auto"/>
            <w:vAlign w:val="center"/>
          </w:tcPr>
          <w:p w14:paraId="7EBF3CB5" w14:textId="77777777" w:rsidR="00AC74A0" w:rsidRPr="005C446D" w:rsidRDefault="00AC74A0" w:rsidP="00B20523">
            <w:pPr>
              <w:pStyle w:val="ListParagraph"/>
              <w:spacing w:after="0" w:line="240" w:lineRule="auto"/>
              <w:ind w:left="0"/>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Jumlah</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aktivitas</w:t>
            </w:r>
            <w:proofErr w:type="spellEnd"/>
          </w:p>
        </w:tc>
      </w:tr>
    </w:tbl>
    <w:p w14:paraId="4A9AFE7B" w14:textId="77777777" w:rsidR="00AC74A0" w:rsidRPr="005C446D" w:rsidRDefault="00AC74A0" w:rsidP="00AC74A0">
      <w:pPr>
        <w:pStyle w:val="ListParagraph"/>
        <w:spacing w:after="0" w:line="360" w:lineRule="auto"/>
        <w:ind w:left="284"/>
        <w:jc w:val="both"/>
        <w:rPr>
          <w:rFonts w:ascii="Times New Roman" w:hAnsi="Times New Roman"/>
          <w:b/>
          <w:color w:val="000000" w:themeColor="text1"/>
          <w:sz w:val="24"/>
          <w:szCs w:val="24"/>
        </w:rPr>
      </w:pPr>
    </w:p>
    <w:p w14:paraId="6CEEC459" w14:textId="1EEF8597" w:rsidR="00AC74A0" w:rsidRPr="005C446D" w:rsidRDefault="00AC74A0" w:rsidP="00AC74A0">
      <w:pPr>
        <w:pStyle w:val="ListParagraph"/>
        <w:spacing w:after="0" w:line="360" w:lineRule="auto"/>
        <w:ind w:left="284"/>
        <w:jc w:val="both"/>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Tabel</w:t>
      </w:r>
      <w:proofErr w:type="spellEnd"/>
      <w:r w:rsidRPr="005C446D">
        <w:rPr>
          <w:rFonts w:ascii="Times New Roman" w:hAnsi="Times New Roman"/>
          <w:color w:val="000000" w:themeColor="text1"/>
          <w:sz w:val="24"/>
          <w:szCs w:val="24"/>
          <w:lang w:val="id-ID"/>
        </w:rPr>
        <w:t xml:space="preserve"> 2. </w:t>
      </w:r>
      <w:r w:rsidRPr="005C446D">
        <w:rPr>
          <w:rFonts w:ascii="Times New Roman" w:hAnsi="Times New Roman"/>
          <w:color w:val="000000" w:themeColor="text1"/>
          <w:sz w:val="24"/>
          <w:szCs w:val="24"/>
        </w:rPr>
        <w:t xml:space="preserve">Center Activity in </w:t>
      </w:r>
      <w:proofErr w:type="spellStart"/>
      <w:r w:rsidRPr="005C446D">
        <w:rPr>
          <w:rFonts w:ascii="Times New Roman" w:hAnsi="Times New Roman"/>
          <w:color w:val="000000" w:themeColor="text1"/>
          <w:sz w:val="24"/>
          <w:szCs w:val="24"/>
        </w:rPr>
        <w:t>Melati</w:t>
      </w:r>
      <w:proofErr w:type="spellEnd"/>
      <w:r w:rsidRPr="005C446D">
        <w:rPr>
          <w:rFonts w:ascii="Times New Roman" w:hAnsi="Times New Roman"/>
          <w:color w:val="000000" w:themeColor="text1"/>
          <w:sz w:val="24"/>
          <w:szCs w:val="24"/>
        </w:rPr>
        <w:t xml:space="preserve"> Ward Unit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701"/>
        <w:gridCol w:w="3543"/>
      </w:tblGrid>
      <w:tr w:rsidR="005C446D" w:rsidRPr="005C446D" w14:paraId="1FB256B4" w14:textId="77777777" w:rsidTr="004711C5">
        <w:trPr>
          <w:trHeight w:val="588"/>
          <w:tblHeader/>
        </w:trPr>
        <w:tc>
          <w:tcPr>
            <w:tcW w:w="3544" w:type="dxa"/>
            <w:shd w:val="clear" w:color="auto" w:fill="auto"/>
            <w:vAlign w:val="center"/>
          </w:tcPr>
          <w:p w14:paraId="0C49F767" w14:textId="77777777" w:rsidR="00AC74A0" w:rsidRPr="005C446D" w:rsidRDefault="00AC74A0" w:rsidP="004711C5">
            <w:pPr>
              <w:pStyle w:val="ListParagraph"/>
              <w:spacing w:after="0" w:line="240" w:lineRule="auto"/>
              <w:ind w:left="0"/>
              <w:jc w:val="center"/>
              <w:rPr>
                <w:rFonts w:ascii="Times New Roman" w:hAnsi="Times New Roman"/>
                <w:b/>
                <w:color w:val="000000" w:themeColor="text1"/>
                <w:sz w:val="24"/>
                <w:szCs w:val="24"/>
              </w:rPr>
            </w:pPr>
            <w:r w:rsidRPr="005C446D">
              <w:rPr>
                <w:rFonts w:ascii="Times New Roman" w:hAnsi="Times New Roman"/>
                <w:b/>
                <w:color w:val="000000" w:themeColor="text1"/>
                <w:sz w:val="24"/>
                <w:szCs w:val="24"/>
              </w:rPr>
              <w:t>Activity Center</w:t>
            </w:r>
          </w:p>
        </w:tc>
        <w:tc>
          <w:tcPr>
            <w:tcW w:w="1701" w:type="dxa"/>
            <w:shd w:val="clear" w:color="auto" w:fill="auto"/>
            <w:vAlign w:val="center"/>
          </w:tcPr>
          <w:p w14:paraId="0CA4D5A8" w14:textId="77777777" w:rsidR="00AC74A0" w:rsidRPr="005C446D" w:rsidRDefault="00AC74A0" w:rsidP="004711C5">
            <w:pPr>
              <w:pStyle w:val="ListParagraph"/>
              <w:spacing w:after="0" w:line="240" w:lineRule="auto"/>
              <w:ind w:left="0"/>
              <w:jc w:val="center"/>
              <w:rPr>
                <w:rFonts w:ascii="Times New Roman" w:hAnsi="Times New Roman"/>
                <w:b/>
                <w:i/>
                <w:color w:val="000000" w:themeColor="text1"/>
                <w:sz w:val="24"/>
                <w:szCs w:val="24"/>
              </w:rPr>
            </w:pPr>
            <w:r w:rsidRPr="005C446D">
              <w:rPr>
                <w:rFonts w:ascii="Times New Roman" w:hAnsi="Times New Roman"/>
                <w:b/>
                <w:i/>
                <w:color w:val="000000" w:themeColor="text1"/>
                <w:sz w:val="24"/>
                <w:szCs w:val="24"/>
              </w:rPr>
              <w:t>First Stage Cost Drivers</w:t>
            </w:r>
          </w:p>
        </w:tc>
        <w:tc>
          <w:tcPr>
            <w:tcW w:w="3543" w:type="dxa"/>
            <w:shd w:val="clear" w:color="auto" w:fill="auto"/>
            <w:vAlign w:val="center"/>
          </w:tcPr>
          <w:p w14:paraId="2AA53A17" w14:textId="77777777" w:rsidR="00AC74A0" w:rsidRPr="005C446D" w:rsidRDefault="00AC74A0" w:rsidP="004711C5">
            <w:pPr>
              <w:pStyle w:val="ListParagraph"/>
              <w:spacing w:after="0" w:line="240" w:lineRule="auto"/>
              <w:ind w:left="0"/>
              <w:jc w:val="center"/>
              <w:rPr>
                <w:rFonts w:ascii="Times New Roman" w:hAnsi="Times New Roman"/>
                <w:b/>
                <w:i/>
                <w:color w:val="000000" w:themeColor="text1"/>
                <w:sz w:val="24"/>
                <w:szCs w:val="24"/>
              </w:rPr>
            </w:pPr>
            <w:r w:rsidRPr="005C446D">
              <w:rPr>
                <w:rFonts w:ascii="Times New Roman" w:hAnsi="Times New Roman"/>
                <w:b/>
                <w:i/>
                <w:color w:val="000000" w:themeColor="text1"/>
                <w:sz w:val="24"/>
                <w:szCs w:val="24"/>
              </w:rPr>
              <w:t>Second Stage Cost Drivers</w:t>
            </w:r>
          </w:p>
        </w:tc>
      </w:tr>
      <w:tr w:rsidR="005C446D" w:rsidRPr="005C446D" w14:paraId="3D45329E" w14:textId="77777777" w:rsidTr="005C14D1">
        <w:trPr>
          <w:trHeight w:val="79"/>
        </w:trPr>
        <w:tc>
          <w:tcPr>
            <w:tcW w:w="3544" w:type="dxa"/>
            <w:shd w:val="clear" w:color="auto" w:fill="auto"/>
            <w:vAlign w:val="center"/>
          </w:tcPr>
          <w:p w14:paraId="17B502C5"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Preparation of the room</w:t>
            </w:r>
          </w:p>
        </w:tc>
        <w:tc>
          <w:tcPr>
            <w:tcW w:w="1701" w:type="dxa"/>
            <w:shd w:val="clear" w:color="auto" w:fill="auto"/>
            <w:vAlign w:val="center"/>
          </w:tcPr>
          <w:p w14:paraId="16380F11"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7FA6CE4C"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 xml:space="preserve">Number </w:t>
            </w:r>
            <w:proofErr w:type="gramStart"/>
            <w:r w:rsidRPr="005C446D">
              <w:rPr>
                <w:rFonts w:ascii="Times New Roman" w:hAnsi="Times New Roman"/>
                <w:bCs/>
                <w:color w:val="000000" w:themeColor="text1"/>
                <w:sz w:val="24"/>
                <w:szCs w:val="24"/>
              </w:rPr>
              <w:t>of  preparation</w:t>
            </w:r>
            <w:proofErr w:type="gramEnd"/>
          </w:p>
        </w:tc>
      </w:tr>
      <w:tr w:rsidR="005C446D" w:rsidRPr="005C446D" w14:paraId="2916BE4B" w14:textId="77777777" w:rsidTr="005C14D1">
        <w:trPr>
          <w:trHeight w:val="79"/>
        </w:trPr>
        <w:tc>
          <w:tcPr>
            <w:tcW w:w="3544" w:type="dxa"/>
            <w:shd w:val="clear" w:color="auto" w:fill="auto"/>
            <w:vAlign w:val="center"/>
          </w:tcPr>
          <w:p w14:paraId="22B3BEBA"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Receive new patients</w:t>
            </w:r>
          </w:p>
        </w:tc>
        <w:tc>
          <w:tcPr>
            <w:tcW w:w="1701" w:type="dxa"/>
            <w:shd w:val="clear" w:color="auto" w:fill="auto"/>
            <w:vAlign w:val="center"/>
          </w:tcPr>
          <w:p w14:paraId="64A8AB8D"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35CA3317"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Number </w:t>
            </w:r>
            <w:proofErr w:type="gramStart"/>
            <w:r w:rsidRPr="005C446D">
              <w:rPr>
                <w:rFonts w:ascii="Times New Roman" w:hAnsi="Times New Roman"/>
                <w:color w:val="000000" w:themeColor="text1"/>
                <w:sz w:val="24"/>
                <w:szCs w:val="24"/>
              </w:rPr>
              <w:t>of  patients</w:t>
            </w:r>
            <w:proofErr w:type="gramEnd"/>
          </w:p>
        </w:tc>
      </w:tr>
      <w:tr w:rsidR="005C446D" w:rsidRPr="005C446D" w14:paraId="50E52091" w14:textId="77777777" w:rsidTr="005C14D1">
        <w:trPr>
          <w:trHeight w:val="79"/>
        </w:trPr>
        <w:tc>
          <w:tcPr>
            <w:tcW w:w="3544" w:type="dxa"/>
            <w:shd w:val="clear" w:color="auto" w:fill="auto"/>
            <w:vAlign w:val="center"/>
          </w:tcPr>
          <w:p w14:paraId="688EFAEA"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bCs/>
                <w:color w:val="000000" w:themeColor="text1"/>
                <w:sz w:val="24"/>
                <w:szCs w:val="24"/>
              </w:rPr>
              <w:t>The file handover</w:t>
            </w:r>
          </w:p>
        </w:tc>
        <w:tc>
          <w:tcPr>
            <w:tcW w:w="1701" w:type="dxa"/>
            <w:shd w:val="clear" w:color="auto" w:fill="auto"/>
            <w:vAlign w:val="center"/>
          </w:tcPr>
          <w:p w14:paraId="503CE1A3"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4AA90301"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Number </w:t>
            </w:r>
            <w:proofErr w:type="gramStart"/>
            <w:r w:rsidRPr="005C446D">
              <w:rPr>
                <w:rFonts w:ascii="Times New Roman" w:hAnsi="Times New Roman"/>
                <w:color w:val="000000" w:themeColor="text1"/>
                <w:sz w:val="24"/>
                <w:szCs w:val="24"/>
              </w:rPr>
              <w:t>of  new</w:t>
            </w:r>
            <w:proofErr w:type="gramEnd"/>
            <w:r w:rsidRPr="005C446D">
              <w:rPr>
                <w:rFonts w:ascii="Times New Roman" w:hAnsi="Times New Roman"/>
                <w:color w:val="000000" w:themeColor="text1"/>
                <w:sz w:val="24"/>
                <w:szCs w:val="24"/>
              </w:rPr>
              <w:t xml:space="preserve"> patient</w:t>
            </w:r>
          </w:p>
        </w:tc>
      </w:tr>
      <w:tr w:rsidR="005C446D" w:rsidRPr="005C446D" w14:paraId="74BB60C6" w14:textId="77777777" w:rsidTr="005C14D1">
        <w:trPr>
          <w:trHeight w:val="79"/>
        </w:trPr>
        <w:tc>
          <w:tcPr>
            <w:tcW w:w="3544" w:type="dxa"/>
            <w:shd w:val="clear" w:color="auto" w:fill="auto"/>
            <w:vAlign w:val="center"/>
          </w:tcPr>
          <w:p w14:paraId="011F4767"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Orientation of the room</w:t>
            </w:r>
          </w:p>
        </w:tc>
        <w:tc>
          <w:tcPr>
            <w:tcW w:w="1701" w:type="dxa"/>
            <w:shd w:val="clear" w:color="auto" w:fill="auto"/>
            <w:vAlign w:val="center"/>
          </w:tcPr>
          <w:p w14:paraId="2802DD09"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10E678F7"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Number </w:t>
            </w:r>
            <w:proofErr w:type="gramStart"/>
            <w:r w:rsidRPr="005C446D">
              <w:rPr>
                <w:rFonts w:ascii="Times New Roman" w:hAnsi="Times New Roman"/>
                <w:color w:val="000000" w:themeColor="text1"/>
                <w:sz w:val="24"/>
                <w:szCs w:val="24"/>
              </w:rPr>
              <w:t>of  new</w:t>
            </w:r>
            <w:proofErr w:type="gramEnd"/>
            <w:r w:rsidRPr="005C446D">
              <w:rPr>
                <w:rFonts w:ascii="Times New Roman" w:hAnsi="Times New Roman"/>
                <w:color w:val="000000" w:themeColor="text1"/>
                <w:sz w:val="24"/>
                <w:szCs w:val="24"/>
              </w:rPr>
              <w:t xml:space="preserve"> patient</w:t>
            </w:r>
          </w:p>
        </w:tc>
      </w:tr>
      <w:tr w:rsidR="005C446D" w:rsidRPr="005C446D" w14:paraId="7AFD32D4" w14:textId="77777777" w:rsidTr="00A45ABF">
        <w:trPr>
          <w:trHeight w:val="587"/>
        </w:trPr>
        <w:tc>
          <w:tcPr>
            <w:tcW w:w="3544" w:type="dxa"/>
            <w:shd w:val="clear" w:color="auto" w:fill="auto"/>
            <w:vAlign w:val="center"/>
          </w:tcPr>
          <w:p w14:paraId="537C8799"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Assessment and risk interventions fall patients</w:t>
            </w:r>
          </w:p>
        </w:tc>
        <w:tc>
          <w:tcPr>
            <w:tcW w:w="1701" w:type="dxa"/>
            <w:shd w:val="clear" w:color="auto" w:fill="auto"/>
            <w:vAlign w:val="center"/>
          </w:tcPr>
          <w:p w14:paraId="6B6ADDF5"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7DD1F6FD"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Number </w:t>
            </w:r>
            <w:proofErr w:type="gramStart"/>
            <w:r w:rsidRPr="005C446D">
              <w:rPr>
                <w:rFonts w:ascii="Times New Roman" w:hAnsi="Times New Roman"/>
                <w:color w:val="000000" w:themeColor="text1"/>
                <w:sz w:val="24"/>
                <w:szCs w:val="24"/>
              </w:rPr>
              <w:t>of  new</w:t>
            </w:r>
            <w:proofErr w:type="gramEnd"/>
            <w:r w:rsidRPr="005C446D">
              <w:rPr>
                <w:rFonts w:ascii="Times New Roman" w:hAnsi="Times New Roman"/>
                <w:color w:val="000000" w:themeColor="text1"/>
                <w:sz w:val="24"/>
                <w:szCs w:val="24"/>
              </w:rPr>
              <w:t xml:space="preserve"> patient</w:t>
            </w:r>
          </w:p>
        </w:tc>
      </w:tr>
      <w:tr w:rsidR="005C446D" w:rsidRPr="005C446D" w14:paraId="5263A6D2" w14:textId="77777777" w:rsidTr="005C14D1">
        <w:trPr>
          <w:trHeight w:val="79"/>
        </w:trPr>
        <w:tc>
          <w:tcPr>
            <w:tcW w:w="3544" w:type="dxa"/>
            <w:shd w:val="clear" w:color="auto" w:fill="auto"/>
            <w:vAlign w:val="center"/>
          </w:tcPr>
          <w:p w14:paraId="5E93F702"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Charging medical record (nursing care)</w:t>
            </w:r>
          </w:p>
        </w:tc>
        <w:tc>
          <w:tcPr>
            <w:tcW w:w="1701" w:type="dxa"/>
            <w:shd w:val="clear" w:color="auto" w:fill="auto"/>
            <w:vAlign w:val="center"/>
          </w:tcPr>
          <w:p w14:paraId="6D77FBA3"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2EFD9C58"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Number of medical record submission</w:t>
            </w:r>
          </w:p>
        </w:tc>
      </w:tr>
      <w:tr w:rsidR="005C446D" w:rsidRPr="005C446D" w14:paraId="5D99C3E5" w14:textId="77777777" w:rsidTr="005C14D1">
        <w:trPr>
          <w:trHeight w:val="79"/>
        </w:trPr>
        <w:tc>
          <w:tcPr>
            <w:tcW w:w="3544" w:type="dxa"/>
            <w:shd w:val="clear" w:color="auto" w:fill="auto"/>
            <w:vAlign w:val="center"/>
          </w:tcPr>
          <w:p w14:paraId="5403B1BC"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Preparing and administering medications</w:t>
            </w:r>
          </w:p>
        </w:tc>
        <w:tc>
          <w:tcPr>
            <w:tcW w:w="1701" w:type="dxa"/>
            <w:shd w:val="clear" w:color="auto" w:fill="auto"/>
            <w:vAlign w:val="center"/>
          </w:tcPr>
          <w:p w14:paraId="2CC66545"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5227D817" w14:textId="5D1F3E88" w:rsidR="00AC74A0" w:rsidRPr="005C446D" w:rsidRDefault="00A45ABF"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Number </w:t>
            </w:r>
            <w:proofErr w:type="gramStart"/>
            <w:r w:rsidRPr="005C446D">
              <w:rPr>
                <w:rFonts w:ascii="Times New Roman" w:hAnsi="Times New Roman"/>
                <w:color w:val="000000" w:themeColor="text1"/>
                <w:sz w:val="24"/>
                <w:szCs w:val="24"/>
              </w:rPr>
              <w:t>of  preparation</w:t>
            </w:r>
            <w:proofErr w:type="gramEnd"/>
            <w:r w:rsidRPr="005C446D">
              <w:rPr>
                <w:rFonts w:ascii="Times New Roman" w:hAnsi="Times New Roman"/>
                <w:color w:val="000000" w:themeColor="text1"/>
                <w:sz w:val="24"/>
                <w:szCs w:val="24"/>
              </w:rPr>
              <w:t xml:space="preserve"> and</w:t>
            </w:r>
            <w:r w:rsidR="00AC74A0" w:rsidRPr="005C446D">
              <w:rPr>
                <w:rFonts w:ascii="Times New Roman" w:hAnsi="Times New Roman"/>
                <w:color w:val="000000" w:themeColor="text1"/>
                <w:sz w:val="24"/>
                <w:szCs w:val="24"/>
              </w:rPr>
              <w:t xml:space="preserve"> prescription</w:t>
            </w:r>
          </w:p>
        </w:tc>
      </w:tr>
      <w:tr w:rsidR="005C446D" w:rsidRPr="005C446D" w14:paraId="1D8D1BFD" w14:textId="77777777" w:rsidTr="005C14D1">
        <w:trPr>
          <w:trHeight w:val="79"/>
        </w:trPr>
        <w:tc>
          <w:tcPr>
            <w:tcW w:w="3544" w:type="dxa"/>
            <w:shd w:val="clear" w:color="auto" w:fill="auto"/>
            <w:vAlign w:val="center"/>
          </w:tcPr>
          <w:p w14:paraId="6EFD045A"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Drug injection</w:t>
            </w:r>
          </w:p>
        </w:tc>
        <w:tc>
          <w:tcPr>
            <w:tcW w:w="1701" w:type="dxa"/>
            <w:shd w:val="clear" w:color="auto" w:fill="auto"/>
            <w:vAlign w:val="center"/>
          </w:tcPr>
          <w:p w14:paraId="7B9CDA91"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4B79DFD7"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Number </w:t>
            </w:r>
            <w:proofErr w:type="gramStart"/>
            <w:r w:rsidRPr="005C446D">
              <w:rPr>
                <w:rFonts w:ascii="Times New Roman" w:hAnsi="Times New Roman"/>
                <w:color w:val="000000" w:themeColor="text1"/>
                <w:sz w:val="24"/>
                <w:szCs w:val="24"/>
              </w:rPr>
              <w:t>of  actions</w:t>
            </w:r>
            <w:proofErr w:type="gramEnd"/>
          </w:p>
        </w:tc>
      </w:tr>
      <w:tr w:rsidR="005C446D" w:rsidRPr="005C446D" w14:paraId="3A3EDAF4" w14:textId="77777777" w:rsidTr="005C14D1">
        <w:trPr>
          <w:trHeight w:val="79"/>
        </w:trPr>
        <w:tc>
          <w:tcPr>
            <w:tcW w:w="3544" w:type="dxa"/>
            <w:shd w:val="clear" w:color="auto" w:fill="auto"/>
            <w:vAlign w:val="center"/>
          </w:tcPr>
          <w:p w14:paraId="49778D6E"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Monitoring the general state and vital sign of the patient</w:t>
            </w:r>
          </w:p>
        </w:tc>
        <w:tc>
          <w:tcPr>
            <w:tcW w:w="1701" w:type="dxa"/>
            <w:shd w:val="clear" w:color="auto" w:fill="auto"/>
            <w:vAlign w:val="center"/>
          </w:tcPr>
          <w:p w14:paraId="0A798A9C"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73C72762"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Number of activity</w:t>
            </w:r>
          </w:p>
        </w:tc>
      </w:tr>
      <w:tr w:rsidR="005C446D" w:rsidRPr="005C446D" w14:paraId="18FBD1D2" w14:textId="77777777" w:rsidTr="005C14D1">
        <w:trPr>
          <w:trHeight w:val="79"/>
        </w:trPr>
        <w:tc>
          <w:tcPr>
            <w:tcW w:w="3544" w:type="dxa"/>
            <w:shd w:val="clear" w:color="auto" w:fill="auto"/>
            <w:vAlign w:val="center"/>
          </w:tcPr>
          <w:p w14:paraId="1862A254"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Explanation of the disease</w:t>
            </w:r>
          </w:p>
        </w:tc>
        <w:tc>
          <w:tcPr>
            <w:tcW w:w="1701" w:type="dxa"/>
            <w:shd w:val="clear" w:color="auto" w:fill="auto"/>
            <w:vAlign w:val="center"/>
          </w:tcPr>
          <w:p w14:paraId="1AFA2245"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09017BEC"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Number of activity</w:t>
            </w:r>
          </w:p>
        </w:tc>
      </w:tr>
      <w:tr w:rsidR="005C446D" w:rsidRPr="005C446D" w14:paraId="1797A880" w14:textId="77777777" w:rsidTr="005C14D1">
        <w:trPr>
          <w:trHeight w:val="79"/>
        </w:trPr>
        <w:tc>
          <w:tcPr>
            <w:tcW w:w="3544" w:type="dxa"/>
            <w:shd w:val="clear" w:color="auto" w:fill="auto"/>
            <w:vAlign w:val="center"/>
          </w:tcPr>
          <w:p w14:paraId="0FAD2AE7"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Release of infusion</w:t>
            </w:r>
          </w:p>
        </w:tc>
        <w:tc>
          <w:tcPr>
            <w:tcW w:w="1701" w:type="dxa"/>
            <w:shd w:val="clear" w:color="auto" w:fill="auto"/>
            <w:vAlign w:val="center"/>
          </w:tcPr>
          <w:p w14:paraId="01538995"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7CD1CC4D"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Number of activity</w:t>
            </w:r>
          </w:p>
        </w:tc>
      </w:tr>
      <w:tr w:rsidR="005C446D" w:rsidRPr="005C446D" w14:paraId="4481681A" w14:textId="77777777" w:rsidTr="005C14D1">
        <w:trPr>
          <w:trHeight w:val="79"/>
        </w:trPr>
        <w:tc>
          <w:tcPr>
            <w:tcW w:w="3544" w:type="dxa"/>
            <w:shd w:val="clear" w:color="auto" w:fill="auto"/>
            <w:vAlign w:val="center"/>
          </w:tcPr>
          <w:p w14:paraId="3028058D"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Completeness of patient home</w:t>
            </w:r>
          </w:p>
        </w:tc>
        <w:tc>
          <w:tcPr>
            <w:tcW w:w="1701" w:type="dxa"/>
            <w:shd w:val="clear" w:color="auto" w:fill="auto"/>
            <w:vAlign w:val="center"/>
          </w:tcPr>
          <w:p w14:paraId="0A69BDE7"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15A70BEE"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Number of activity</w:t>
            </w:r>
          </w:p>
        </w:tc>
      </w:tr>
      <w:tr w:rsidR="005C446D" w:rsidRPr="005C446D" w14:paraId="0BF3189F" w14:textId="77777777" w:rsidTr="00A45ABF">
        <w:trPr>
          <w:trHeight w:val="335"/>
        </w:trPr>
        <w:tc>
          <w:tcPr>
            <w:tcW w:w="3544" w:type="dxa"/>
            <w:shd w:val="clear" w:color="auto" w:fill="auto"/>
            <w:vAlign w:val="center"/>
          </w:tcPr>
          <w:p w14:paraId="33838197"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Provision of cover letter administration completion</w:t>
            </w:r>
          </w:p>
        </w:tc>
        <w:tc>
          <w:tcPr>
            <w:tcW w:w="1701" w:type="dxa"/>
            <w:shd w:val="clear" w:color="auto" w:fill="auto"/>
            <w:vAlign w:val="center"/>
          </w:tcPr>
          <w:p w14:paraId="570F5705"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028A3A81"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Number of activity</w:t>
            </w:r>
          </w:p>
        </w:tc>
      </w:tr>
      <w:tr w:rsidR="005C446D" w:rsidRPr="005C446D" w14:paraId="67FAA671" w14:textId="77777777" w:rsidTr="005C14D1">
        <w:trPr>
          <w:trHeight w:val="79"/>
        </w:trPr>
        <w:tc>
          <w:tcPr>
            <w:tcW w:w="3544" w:type="dxa"/>
            <w:shd w:val="clear" w:color="auto" w:fill="auto"/>
            <w:vAlign w:val="center"/>
          </w:tcPr>
          <w:p w14:paraId="08043042"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Completion of the Surgical Polyclinic control letter</w:t>
            </w:r>
          </w:p>
        </w:tc>
        <w:tc>
          <w:tcPr>
            <w:tcW w:w="1701" w:type="dxa"/>
            <w:shd w:val="clear" w:color="auto" w:fill="auto"/>
            <w:vAlign w:val="center"/>
          </w:tcPr>
          <w:p w14:paraId="23BC09B1"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7FCC9EF2"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Number of activity</w:t>
            </w:r>
          </w:p>
        </w:tc>
      </w:tr>
      <w:tr w:rsidR="004C4110" w:rsidRPr="005C446D" w14:paraId="42FAAA97" w14:textId="77777777" w:rsidTr="005C14D1">
        <w:trPr>
          <w:trHeight w:val="106"/>
        </w:trPr>
        <w:tc>
          <w:tcPr>
            <w:tcW w:w="3544" w:type="dxa"/>
            <w:shd w:val="clear" w:color="auto" w:fill="auto"/>
            <w:vAlign w:val="center"/>
          </w:tcPr>
          <w:p w14:paraId="15D0390F" w14:textId="77777777" w:rsidR="00AC74A0" w:rsidRPr="005C446D" w:rsidRDefault="00AC74A0" w:rsidP="00A45ABF">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bCs/>
                <w:color w:val="000000" w:themeColor="text1"/>
                <w:sz w:val="24"/>
                <w:szCs w:val="24"/>
              </w:rPr>
              <w:t>Take the patient home</w:t>
            </w:r>
          </w:p>
        </w:tc>
        <w:tc>
          <w:tcPr>
            <w:tcW w:w="1701" w:type="dxa"/>
            <w:shd w:val="clear" w:color="auto" w:fill="auto"/>
            <w:vAlign w:val="center"/>
          </w:tcPr>
          <w:p w14:paraId="7029BF86" w14:textId="77777777" w:rsidR="00AC74A0" w:rsidRPr="005C446D" w:rsidRDefault="00AC74A0" w:rsidP="004711C5">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Time</w:t>
            </w:r>
          </w:p>
        </w:tc>
        <w:tc>
          <w:tcPr>
            <w:tcW w:w="3543" w:type="dxa"/>
            <w:shd w:val="clear" w:color="auto" w:fill="auto"/>
            <w:vAlign w:val="center"/>
          </w:tcPr>
          <w:p w14:paraId="0CA57809" w14:textId="77777777" w:rsidR="00AC74A0" w:rsidRPr="005C446D" w:rsidRDefault="00AC74A0" w:rsidP="004711C5">
            <w:pPr>
              <w:pStyle w:val="ListParagraph"/>
              <w:spacing w:after="0" w:line="240" w:lineRule="auto"/>
              <w:ind w:left="0"/>
              <w:rPr>
                <w:rFonts w:ascii="Times New Roman" w:hAnsi="Times New Roman"/>
                <w:color w:val="000000" w:themeColor="text1"/>
                <w:sz w:val="24"/>
                <w:szCs w:val="24"/>
              </w:rPr>
            </w:pPr>
            <w:r w:rsidRPr="005C446D">
              <w:rPr>
                <w:rFonts w:ascii="Times New Roman" w:hAnsi="Times New Roman"/>
                <w:color w:val="000000" w:themeColor="text1"/>
                <w:sz w:val="24"/>
                <w:szCs w:val="24"/>
              </w:rPr>
              <w:t>Number of activity</w:t>
            </w:r>
          </w:p>
        </w:tc>
      </w:tr>
    </w:tbl>
    <w:p w14:paraId="43AA19E7" w14:textId="77777777" w:rsidR="00AC74A0" w:rsidRPr="005C446D" w:rsidRDefault="00AC74A0" w:rsidP="00AC74A0">
      <w:pPr>
        <w:spacing w:line="360" w:lineRule="auto"/>
        <w:jc w:val="both"/>
        <w:rPr>
          <w:rFonts w:ascii="Times New Roman" w:hAnsi="Times New Roman"/>
          <w:color w:val="000000" w:themeColor="text1"/>
          <w:sz w:val="24"/>
          <w:szCs w:val="24"/>
          <w:lang w:val="id-ID"/>
        </w:rPr>
      </w:pPr>
    </w:p>
    <w:p w14:paraId="73DC81A2" w14:textId="77777777" w:rsidR="005C14D1" w:rsidRPr="005C446D" w:rsidRDefault="005C14D1" w:rsidP="00AC74A0">
      <w:pPr>
        <w:spacing w:line="360" w:lineRule="auto"/>
        <w:jc w:val="both"/>
        <w:rPr>
          <w:rFonts w:ascii="Times New Roman" w:hAnsi="Times New Roman"/>
          <w:color w:val="000000" w:themeColor="text1"/>
          <w:sz w:val="24"/>
          <w:szCs w:val="24"/>
          <w:lang w:val="id-ID"/>
        </w:rPr>
      </w:pPr>
    </w:p>
    <w:p w14:paraId="6D6606D4" w14:textId="77777777" w:rsidR="005C14D1" w:rsidRPr="005C446D" w:rsidRDefault="005C14D1" w:rsidP="00AC74A0">
      <w:pPr>
        <w:spacing w:line="360" w:lineRule="auto"/>
        <w:jc w:val="both"/>
        <w:rPr>
          <w:rFonts w:ascii="Times New Roman" w:hAnsi="Times New Roman"/>
          <w:color w:val="000000" w:themeColor="text1"/>
          <w:sz w:val="24"/>
          <w:szCs w:val="24"/>
          <w:lang w:val="id-ID"/>
        </w:rPr>
      </w:pPr>
    </w:p>
    <w:p w14:paraId="7E20F144" w14:textId="77777777" w:rsidR="005C14D1" w:rsidRPr="005C446D" w:rsidRDefault="005C14D1" w:rsidP="00AC74A0">
      <w:pPr>
        <w:spacing w:line="360" w:lineRule="auto"/>
        <w:jc w:val="both"/>
        <w:rPr>
          <w:rFonts w:ascii="Times New Roman" w:hAnsi="Times New Roman"/>
          <w:color w:val="000000" w:themeColor="text1"/>
          <w:sz w:val="24"/>
          <w:szCs w:val="24"/>
          <w:lang w:val="id-ID"/>
        </w:rPr>
      </w:pPr>
    </w:p>
    <w:p w14:paraId="6B31FBE6" w14:textId="3FCD83F7" w:rsidR="00AC74A0" w:rsidRPr="005C446D" w:rsidRDefault="00AC74A0" w:rsidP="00F11A54">
      <w:pPr>
        <w:pStyle w:val="ListParagraph"/>
        <w:numPr>
          <w:ilvl w:val="0"/>
          <w:numId w:val="2"/>
        </w:numPr>
        <w:spacing w:after="0" w:line="240" w:lineRule="auto"/>
        <w:jc w:val="both"/>
        <w:rPr>
          <w:rFonts w:ascii="Times New Roman" w:hAnsi="Times New Roman"/>
          <w:b/>
          <w:color w:val="000000" w:themeColor="text1"/>
          <w:sz w:val="24"/>
          <w:szCs w:val="24"/>
          <w:lang w:val="id-ID"/>
        </w:rPr>
      </w:pPr>
      <w:r w:rsidRPr="005C446D">
        <w:rPr>
          <w:rFonts w:ascii="Times New Roman" w:hAnsi="Times New Roman"/>
          <w:b/>
          <w:color w:val="000000" w:themeColor="text1"/>
          <w:sz w:val="24"/>
          <w:szCs w:val="24"/>
        </w:rPr>
        <w:t>Charging</w:t>
      </w:r>
      <w:r w:rsidRPr="005C446D">
        <w:rPr>
          <w:rFonts w:ascii="Times New Roman" w:hAnsi="Times New Roman"/>
          <w:b/>
          <w:color w:val="000000" w:themeColor="text1"/>
          <w:sz w:val="24"/>
          <w:szCs w:val="24"/>
          <w:lang w:val="id-ID"/>
        </w:rPr>
        <w:t xml:space="preserve"> </w:t>
      </w:r>
      <w:proofErr w:type="spellStart"/>
      <w:r w:rsidRPr="005C446D">
        <w:rPr>
          <w:rFonts w:ascii="Times New Roman" w:hAnsi="Times New Roman"/>
          <w:b/>
          <w:color w:val="000000" w:themeColor="text1"/>
          <w:sz w:val="24"/>
          <w:szCs w:val="24"/>
          <w:lang w:val="id-ID"/>
        </w:rPr>
        <w:t>the</w:t>
      </w:r>
      <w:proofErr w:type="spellEnd"/>
      <w:r w:rsidRPr="005C446D">
        <w:rPr>
          <w:rFonts w:ascii="Times New Roman" w:hAnsi="Times New Roman"/>
          <w:b/>
          <w:color w:val="000000" w:themeColor="text1"/>
          <w:sz w:val="24"/>
          <w:szCs w:val="24"/>
          <w:lang w:val="id-ID"/>
        </w:rPr>
        <w:t xml:space="preserve"> </w:t>
      </w:r>
      <w:proofErr w:type="spellStart"/>
      <w:r w:rsidRPr="005C446D">
        <w:rPr>
          <w:rFonts w:ascii="Times New Roman" w:hAnsi="Times New Roman"/>
          <w:b/>
          <w:color w:val="000000" w:themeColor="text1"/>
          <w:sz w:val="24"/>
          <w:szCs w:val="24"/>
          <w:lang w:val="id-ID"/>
        </w:rPr>
        <w:t>direct</w:t>
      </w:r>
      <w:proofErr w:type="spellEnd"/>
      <w:r w:rsidRPr="005C446D">
        <w:rPr>
          <w:rFonts w:ascii="Times New Roman" w:hAnsi="Times New Roman"/>
          <w:b/>
          <w:color w:val="000000" w:themeColor="text1"/>
          <w:sz w:val="24"/>
          <w:szCs w:val="24"/>
          <w:lang w:val="id-ID"/>
        </w:rPr>
        <w:t xml:space="preserve"> </w:t>
      </w:r>
      <w:proofErr w:type="spellStart"/>
      <w:r w:rsidRPr="005C446D">
        <w:rPr>
          <w:rFonts w:ascii="Times New Roman" w:hAnsi="Times New Roman"/>
          <w:b/>
          <w:color w:val="000000" w:themeColor="text1"/>
          <w:sz w:val="24"/>
          <w:szCs w:val="24"/>
          <w:lang w:val="id-ID"/>
        </w:rPr>
        <w:t>costs</w:t>
      </w:r>
      <w:proofErr w:type="spellEnd"/>
      <w:r w:rsidRPr="005C446D">
        <w:rPr>
          <w:rFonts w:ascii="Times New Roman" w:hAnsi="Times New Roman"/>
          <w:b/>
          <w:color w:val="000000" w:themeColor="text1"/>
          <w:sz w:val="24"/>
          <w:szCs w:val="24"/>
          <w:lang w:val="id-ID"/>
        </w:rPr>
        <w:t xml:space="preserve"> </w:t>
      </w:r>
      <w:r w:rsidRPr="005C446D">
        <w:rPr>
          <w:rFonts w:ascii="Times New Roman" w:hAnsi="Times New Roman"/>
          <w:b/>
          <w:color w:val="000000" w:themeColor="text1"/>
          <w:sz w:val="24"/>
          <w:szCs w:val="24"/>
        </w:rPr>
        <w:t>expended</w:t>
      </w:r>
      <w:r w:rsidRPr="005C446D">
        <w:rPr>
          <w:rFonts w:ascii="Times New Roman" w:hAnsi="Times New Roman"/>
          <w:b/>
          <w:color w:val="000000" w:themeColor="text1"/>
          <w:sz w:val="24"/>
          <w:szCs w:val="24"/>
          <w:lang w:val="id-ID"/>
        </w:rPr>
        <w:t xml:space="preserve"> </w:t>
      </w:r>
      <w:r w:rsidRPr="005C446D">
        <w:rPr>
          <w:rFonts w:ascii="Times New Roman" w:hAnsi="Times New Roman"/>
          <w:b/>
          <w:color w:val="000000" w:themeColor="text1"/>
          <w:sz w:val="24"/>
          <w:szCs w:val="24"/>
        </w:rPr>
        <w:t>on the Impatient Light Head Injury</w:t>
      </w:r>
    </w:p>
    <w:p w14:paraId="50D4C074" w14:textId="77777777" w:rsidR="005C14D1" w:rsidRPr="005C446D" w:rsidRDefault="005C14D1" w:rsidP="005C14D1">
      <w:pPr>
        <w:pStyle w:val="ListParagraph"/>
        <w:spacing w:after="0" w:line="240" w:lineRule="auto"/>
        <w:ind w:left="360"/>
        <w:jc w:val="both"/>
        <w:rPr>
          <w:rFonts w:ascii="Times New Roman" w:hAnsi="Times New Roman"/>
          <w:b/>
          <w:color w:val="000000" w:themeColor="text1"/>
          <w:sz w:val="24"/>
          <w:szCs w:val="24"/>
          <w:lang w:val="id-ID"/>
        </w:rPr>
      </w:pPr>
    </w:p>
    <w:p w14:paraId="4A4C78C4" w14:textId="546650BF" w:rsidR="00AC74A0" w:rsidRPr="005C446D" w:rsidRDefault="00AC74A0" w:rsidP="00AC74A0">
      <w:pPr>
        <w:pStyle w:val="ListParagraph"/>
        <w:spacing w:after="0" w:line="240" w:lineRule="auto"/>
        <w:ind w:left="360"/>
        <w:jc w:val="both"/>
        <w:rPr>
          <w:rFonts w:ascii="Times New Roman" w:hAnsi="Times New Roman"/>
          <w:b/>
          <w:color w:val="000000" w:themeColor="text1"/>
          <w:sz w:val="24"/>
          <w:szCs w:val="24"/>
        </w:rPr>
      </w:pPr>
      <w:proofErr w:type="spellStart"/>
      <w:r w:rsidRPr="005C446D">
        <w:rPr>
          <w:rFonts w:ascii="Times New Roman" w:hAnsi="Times New Roman"/>
          <w:bCs/>
          <w:color w:val="000000" w:themeColor="text1"/>
          <w:sz w:val="24"/>
          <w:szCs w:val="24"/>
          <w:lang w:val="id-ID"/>
        </w:rPr>
        <w:t>Table</w:t>
      </w:r>
      <w:proofErr w:type="spellEnd"/>
      <w:r w:rsidRPr="005C446D">
        <w:rPr>
          <w:rFonts w:ascii="Times New Roman" w:hAnsi="Times New Roman"/>
          <w:bCs/>
          <w:color w:val="000000" w:themeColor="text1"/>
          <w:sz w:val="24"/>
          <w:szCs w:val="24"/>
          <w:lang w:val="id-ID"/>
        </w:rPr>
        <w:t xml:space="preserve"> 3. </w:t>
      </w:r>
      <w:r w:rsidRPr="005C446D">
        <w:rPr>
          <w:rFonts w:ascii="Times New Roman" w:hAnsi="Times New Roman"/>
          <w:bCs/>
          <w:color w:val="000000" w:themeColor="text1"/>
          <w:sz w:val="24"/>
          <w:szCs w:val="24"/>
        </w:rPr>
        <w:t>Direct cost of IGD Unit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2"/>
        <w:gridCol w:w="1568"/>
        <w:gridCol w:w="1425"/>
        <w:gridCol w:w="1693"/>
      </w:tblGrid>
      <w:tr w:rsidR="005C446D" w:rsidRPr="005C446D" w14:paraId="791067B1" w14:textId="77777777" w:rsidTr="00A45ABF">
        <w:trPr>
          <w:trHeight w:val="629"/>
          <w:tblHeader/>
        </w:trPr>
        <w:tc>
          <w:tcPr>
            <w:tcW w:w="4102" w:type="dxa"/>
            <w:shd w:val="clear" w:color="auto" w:fill="auto"/>
            <w:noWrap/>
            <w:vAlign w:val="center"/>
            <w:hideMark/>
          </w:tcPr>
          <w:p w14:paraId="4102F84F" w14:textId="77777777" w:rsidR="00AC74A0" w:rsidRPr="005C446D" w:rsidRDefault="00AC74A0" w:rsidP="00A45ABF">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Cost Category</w:t>
            </w:r>
          </w:p>
        </w:tc>
        <w:tc>
          <w:tcPr>
            <w:tcW w:w="1568" w:type="dxa"/>
            <w:shd w:val="clear" w:color="auto" w:fill="auto"/>
            <w:noWrap/>
            <w:vAlign w:val="center"/>
            <w:hideMark/>
          </w:tcPr>
          <w:p w14:paraId="29FCC325" w14:textId="77777777" w:rsidR="00AC74A0" w:rsidRPr="005C446D" w:rsidRDefault="00AC74A0" w:rsidP="00A45ABF">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Unit</w:t>
            </w:r>
          </w:p>
        </w:tc>
        <w:tc>
          <w:tcPr>
            <w:tcW w:w="1425" w:type="dxa"/>
            <w:shd w:val="clear" w:color="auto" w:fill="auto"/>
            <w:vAlign w:val="center"/>
            <w:hideMark/>
          </w:tcPr>
          <w:p w14:paraId="60D7311D" w14:textId="77777777" w:rsidR="00AC74A0" w:rsidRPr="005C446D" w:rsidRDefault="00AC74A0" w:rsidP="00A45ABF">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Total Unit</w:t>
            </w:r>
          </w:p>
        </w:tc>
        <w:tc>
          <w:tcPr>
            <w:tcW w:w="1693" w:type="dxa"/>
            <w:shd w:val="clear" w:color="auto" w:fill="auto"/>
            <w:noWrap/>
            <w:vAlign w:val="center"/>
            <w:hideMark/>
          </w:tcPr>
          <w:p w14:paraId="3A841B19" w14:textId="77777777" w:rsidR="00AC74A0" w:rsidRPr="005C446D" w:rsidRDefault="00AC74A0" w:rsidP="00A45ABF">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Total</w:t>
            </w:r>
          </w:p>
        </w:tc>
      </w:tr>
      <w:tr w:rsidR="005C446D" w:rsidRPr="005C446D" w14:paraId="365F01F9" w14:textId="77777777" w:rsidTr="00A45ABF">
        <w:trPr>
          <w:trHeight w:val="224"/>
        </w:trPr>
        <w:tc>
          <w:tcPr>
            <w:tcW w:w="4102" w:type="dxa"/>
            <w:shd w:val="clear" w:color="auto" w:fill="auto"/>
            <w:noWrap/>
            <w:vAlign w:val="center"/>
            <w:hideMark/>
          </w:tcPr>
          <w:p w14:paraId="0566FACC"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b/>
                <w:bCs/>
                <w:color w:val="000000" w:themeColor="text1"/>
                <w:sz w:val="24"/>
                <w:szCs w:val="24"/>
              </w:rPr>
              <w:t>Registration of IGD</w:t>
            </w:r>
          </w:p>
        </w:tc>
        <w:tc>
          <w:tcPr>
            <w:tcW w:w="1568" w:type="dxa"/>
            <w:shd w:val="clear" w:color="auto" w:fill="auto"/>
            <w:noWrap/>
            <w:vAlign w:val="center"/>
            <w:hideMark/>
          </w:tcPr>
          <w:p w14:paraId="5AB02393"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b/>
                <w:bCs/>
                <w:color w:val="000000" w:themeColor="text1"/>
                <w:kern w:val="24"/>
                <w:sz w:val="24"/>
                <w:szCs w:val="24"/>
              </w:rPr>
              <w:t>Activity</w:t>
            </w:r>
          </w:p>
        </w:tc>
        <w:tc>
          <w:tcPr>
            <w:tcW w:w="1425" w:type="dxa"/>
            <w:shd w:val="clear" w:color="auto" w:fill="auto"/>
            <w:noWrap/>
            <w:vAlign w:val="center"/>
            <w:hideMark/>
          </w:tcPr>
          <w:p w14:paraId="32519279"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7E6CFE26"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5.000</w:t>
            </w:r>
          </w:p>
        </w:tc>
      </w:tr>
      <w:tr w:rsidR="005C446D" w:rsidRPr="005C446D" w14:paraId="7E72A8A8" w14:textId="77777777" w:rsidTr="00A45ABF">
        <w:trPr>
          <w:trHeight w:val="321"/>
        </w:trPr>
        <w:tc>
          <w:tcPr>
            <w:tcW w:w="4102" w:type="dxa"/>
            <w:shd w:val="clear" w:color="auto" w:fill="auto"/>
            <w:noWrap/>
            <w:vAlign w:val="center"/>
            <w:hideMark/>
          </w:tcPr>
          <w:p w14:paraId="75DB8532"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Examination of IGD doctor</w:t>
            </w:r>
          </w:p>
        </w:tc>
        <w:tc>
          <w:tcPr>
            <w:tcW w:w="1568" w:type="dxa"/>
            <w:shd w:val="clear" w:color="auto" w:fill="auto"/>
            <w:noWrap/>
            <w:vAlign w:val="center"/>
            <w:hideMark/>
          </w:tcPr>
          <w:p w14:paraId="0191C3E8"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Action</w:t>
            </w:r>
          </w:p>
        </w:tc>
        <w:tc>
          <w:tcPr>
            <w:tcW w:w="1425" w:type="dxa"/>
            <w:shd w:val="clear" w:color="auto" w:fill="auto"/>
            <w:noWrap/>
            <w:vAlign w:val="center"/>
            <w:hideMark/>
          </w:tcPr>
          <w:p w14:paraId="50154EC2"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5C7B3A26"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32.500</w:t>
            </w:r>
          </w:p>
        </w:tc>
      </w:tr>
      <w:tr w:rsidR="005C446D" w:rsidRPr="005C446D" w14:paraId="3A67CE35" w14:textId="77777777" w:rsidTr="00A45ABF">
        <w:trPr>
          <w:trHeight w:val="307"/>
        </w:trPr>
        <w:tc>
          <w:tcPr>
            <w:tcW w:w="4102" w:type="dxa"/>
            <w:shd w:val="clear" w:color="auto" w:fill="auto"/>
            <w:noWrap/>
            <w:vAlign w:val="center"/>
            <w:hideMark/>
          </w:tcPr>
          <w:p w14:paraId="0FBD219B"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Cranium Rontgen</w:t>
            </w:r>
          </w:p>
        </w:tc>
        <w:tc>
          <w:tcPr>
            <w:tcW w:w="1568" w:type="dxa"/>
            <w:shd w:val="clear" w:color="auto" w:fill="auto"/>
            <w:noWrap/>
            <w:vAlign w:val="center"/>
            <w:hideMark/>
          </w:tcPr>
          <w:p w14:paraId="65BEF26D"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Action</w:t>
            </w:r>
          </w:p>
        </w:tc>
        <w:tc>
          <w:tcPr>
            <w:tcW w:w="1425" w:type="dxa"/>
            <w:shd w:val="clear" w:color="auto" w:fill="auto"/>
            <w:noWrap/>
            <w:vAlign w:val="center"/>
            <w:hideMark/>
          </w:tcPr>
          <w:p w14:paraId="6967257F"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35167A8A"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90.000</w:t>
            </w:r>
          </w:p>
        </w:tc>
      </w:tr>
      <w:tr w:rsidR="005C446D" w:rsidRPr="005C446D" w14:paraId="2D1A945D" w14:textId="77777777" w:rsidTr="00A45ABF">
        <w:trPr>
          <w:trHeight w:val="336"/>
        </w:trPr>
        <w:tc>
          <w:tcPr>
            <w:tcW w:w="4102" w:type="dxa"/>
            <w:shd w:val="clear" w:color="auto" w:fill="auto"/>
            <w:noWrap/>
            <w:vAlign w:val="center"/>
            <w:hideMark/>
          </w:tcPr>
          <w:p w14:paraId="3B5EAB6F"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Blood Complete</w:t>
            </w:r>
          </w:p>
        </w:tc>
        <w:tc>
          <w:tcPr>
            <w:tcW w:w="1568" w:type="dxa"/>
            <w:shd w:val="clear" w:color="auto" w:fill="auto"/>
            <w:noWrap/>
            <w:vAlign w:val="center"/>
            <w:hideMark/>
          </w:tcPr>
          <w:p w14:paraId="39E3958B"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Action</w:t>
            </w:r>
          </w:p>
        </w:tc>
        <w:tc>
          <w:tcPr>
            <w:tcW w:w="1425" w:type="dxa"/>
            <w:shd w:val="clear" w:color="auto" w:fill="auto"/>
            <w:noWrap/>
            <w:vAlign w:val="center"/>
            <w:hideMark/>
          </w:tcPr>
          <w:p w14:paraId="6AECD5A0"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1ACC5D0E"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44.000</w:t>
            </w:r>
          </w:p>
        </w:tc>
      </w:tr>
      <w:tr w:rsidR="005C446D" w:rsidRPr="005C446D" w14:paraId="449066B4" w14:textId="77777777" w:rsidTr="00A45ABF">
        <w:trPr>
          <w:trHeight w:val="307"/>
        </w:trPr>
        <w:tc>
          <w:tcPr>
            <w:tcW w:w="4102" w:type="dxa"/>
            <w:shd w:val="clear" w:color="auto" w:fill="auto"/>
            <w:noWrap/>
            <w:vAlign w:val="center"/>
            <w:hideMark/>
          </w:tcPr>
          <w:p w14:paraId="6FBA890D"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EKG</w:t>
            </w:r>
          </w:p>
        </w:tc>
        <w:tc>
          <w:tcPr>
            <w:tcW w:w="1568" w:type="dxa"/>
            <w:shd w:val="clear" w:color="auto" w:fill="auto"/>
            <w:noWrap/>
            <w:vAlign w:val="center"/>
            <w:hideMark/>
          </w:tcPr>
          <w:p w14:paraId="6228ACAF"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Action</w:t>
            </w:r>
          </w:p>
        </w:tc>
        <w:tc>
          <w:tcPr>
            <w:tcW w:w="1425" w:type="dxa"/>
            <w:shd w:val="clear" w:color="auto" w:fill="auto"/>
            <w:noWrap/>
            <w:vAlign w:val="center"/>
            <w:hideMark/>
          </w:tcPr>
          <w:p w14:paraId="4D75A43E"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352AC33A"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58.000</w:t>
            </w:r>
          </w:p>
        </w:tc>
      </w:tr>
      <w:tr w:rsidR="005C446D" w:rsidRPr="005C446D" w14:paraId="1C25B990" w14:textId="77777777" w:rsidTr="00A45ABF">
        <w:trPr>
          <w:trHeight w:val="308"/>
        </w:trPr>
        <w:tc>
          <w:tcPr>
            <w:tcW w:w="4102" w:type="dxa"/>
            <w:shd w:val="clear" w:color="auto" w:fill="auto"/>
            <w:noWrap/>
            <w:vAlign w:val="center"/>
            <w:hideMark/>
          </w:tcPr>
          <w:p w14:paraId="72C0F109"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Head CT scan</w:t>
            </w:r>
          </w:p>
        </w:tc>
        <w:tc>
          <w:tcPr>
            <w:tcW w:w="1568" w:type="dxa"/>
            <w:shd w:val="clear" w:color="auto" w:fill="auto"/>
            <w:noWrap/>
            <w:vAlign w:val="center"/>
            <w:hideMark/>
          </w:tcPr>
          <w:p w14:paraId="6EEBEAD1"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Action</w:t>
            </w:r>
          </w:p>
        </w:tc>
        <w:tc>
          <w:tcPr>
            <w:tcW w:w="1425" w:type="dxa"/>
            <w:shd w:val="clear" w:color="auto" w:fill="auto"/>
            <w:noWrap/>
            <w:vAlign w:val="center"/>
            <w:hideMark/>
          </w:tcPr>
          <w:p w14:paraId="6B9C3A33"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6371B47B"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400.000</w:t>
            </w:r>
          </w:p>
        </w:tc>
      </w:tr>
      <w:tr w:rsidR="005C446D" w:rsidRPr="005C446D" w14:paraId="03CAF8AD" w14:textId="77777777" w:rsidTr="00A45ABF">
        <w:trPr>
          <w:trHeight w:val="321"/>
        </w:trPr>
        <w:tc>
          <w:tcPr>
            <w:tcW w:w="4102" w:type="dxa"/>
            <w:shd w:val="clear" w:color="auto" w:fill="auto"/>
            <w:noWrap/>
            <w:vAlign w:val="center"/>
            <w:hideMark/>
          </w:tcPr>
          <w:p w14:paraId="6E4C8BD9"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Medication of minor injuries</w:t>
            </w:r>
          </w:p>
        </w:tc>
        <w:tc>
          <w:tcPr>
            <w:tcW w:w="1568" w:type="dxa"/>
            <w:shd w:val="clear" w:color="auto" w:fill="auto"/>
            <w:noWrap/>
            <w:vAlign w:val="center"/>
            <w:hideMark/>
          </w:tcPr>
          <w:p w14:paraId="099DE910"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Action</w:t>
            </w:r>
          </w:p>
        </w:tc>
        <w:tc>
          <w:tcPr>
            <w:tcW w:w="1425" w:type="dxa"/>
            <w:shd w:val="clear" w:color="auto" w:fill="auto"/>
            <w:noWrap/>
            <w:vAlign w:val="center"/>
            <w:hideMark/>
          </w:tcPr>
          <w:p w14:paraId="0A02CD94"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2895542D"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26.500</w:t>
            </w:r>
          </w:p>
        </w:tc>
      </w:tr>
      <w:tr w:rsidR="005C446D" w:rsidRPr="005C446D" w14:paraId="54606BDD" w14:textId="77777777" w:rsidTr="00A45ABF">
        <w:trPr>
          <w:trHeight w:val="307"/>
        </w:trPr>
        <w:tc>
          <w:tcPr>
            <w:tcW w:w="4102" w:type="dxa"/>
            <w:shd w:val="clear" w:color="auto" w:fill="auto"/>
            <w:noWrap/>
            <w:vAlign w:val="center"/>
            <w:hideMark/>
          </w:tcPr>
          <w:p w14:paraId="1CB2AC6A"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O2</w:t>
            </w:r>
          </w:p>
        </w:tc>
        <w:tc>
          <w:tcPr>
            <w:tcW w:w="1568" w:type="dxa"/>
            <w:shd w:val="clear" w:color="auto" w:fill="auto"/>
            <w:noWrap/>
            <w:vAlign w:val="center"/>
            <w:hideMark/>
          </w:tcPr>
          <w:p w14:paraId="0D8D0E64"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liter</w:t>
            </w:r>
          </w:p>
        </w:tc>
        <w:tc>
          <w:tcPr>
            <w:tcW w:w="1425" w:type="dxa"/>
            <w:shd w:val="clear" w:color="auto" w:fill="auto"/>
            <w:noWrap/>
            <w:vAlign w:val="center"/>
            <w:hideMark/>
          </w:tcPr>
          <w:p w14:paraId="776DC86C"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3</w:t>
            </w:r>
          </w:p>
        </w:tc>
        <w:tc>
          <w:tcPr>
            <w:tcW w:w="1693" w:type="dxa"/>
            <w:shd w:val="clear" w:color="auto" w:fill="auto"/>
            <w:noWrap/>
            <w:vAlign w:val="center"/>
          </w:tcPr>
          <w:p w14:paraId="49AEDCFB"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33.000</w:t>
            </w:r>
          </w:p>
        </w:tc>
      </w:tr>
      <w:tr w:rsidR="005C446D" w:rsidRPr="005C446D" w14:paraId="7686E084" w14:textId="77777777" w:rsidTr="00A45ABF">
        <w:trPr>
          <w:trHeight w:val="308"/>
        </w:trPr>
        <w:tc>
          <w:tcPr>
            <w:tcW w:w="4102" w:type="dxa"/>
            <w:shd w:val="clear" w:color="auto" w:fill="auto"/>
            <w:noWrap/>
            <w:vAlign w:val="center"/>
            <w:hideMark/>
          </w:tcPr>
          <w:p w14:paraId="1216DF98"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Nasal O2 Adult</w:t>
            </w:r>
          </w:p>
        </w:tc>
        <w:tc>
          <w:tcPr>
            <w:tcW w:w="1568" w:type="dxa"/>
            <w:shd w:val="clear" w:color="auto" w:fill="auto"/>
            <w:noWrap/>
            <w:vAlign w:val="center"/>
            <w:hideMark/>
          </w:tcPr>
          <w:p w14:paraId="128C89B0" w14:textId="77777777" w:rsidR="00AC74A0" w:rsidRPr="005C446D" w:rsidRDefault="00AC74A0" w:rsidP="00AC74A0">
            <w:pPr>
              <w:jc w:val="cente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kern w:val="24"/>
                <w:sz w:val="24"/>
                <w:szCs w:val="24"/>
              </w:rPr>
              <w:t>Biji</w:t>
            </w:r>
            <w:proofErr w:type="spellEnd"/>
          </w:p>
        </w:tc>
        <w:tc>
          <w:tcPr>
            <w:tcW w:w="1425" w:type="dxa"/>
            <w:shd w:val="clear" w:color="auto" w:fill="auto"/>
            <w:noWrap/>
            <w:vAlign w:val="center"/>
            <w:hideMark/>
          </w:tcPr>
          <w:p w14:paraId="348AD2A5"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4CBFD623"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13.800</w:t>
            </w:r>
          </w:p>
        </w:tc>
      </w:tr>
      <w:tr w:rsidR="005C446D" w:rsidRPr="005C446D" w14:paraId="20B1F13A" w14:textId="77777777" w:rsidTr="00A45ABF">
        <w:trPr>
          <w:trHeight w:val="335"/>
        </w:trPr>
        <w:tc>
          <w:tcPr>
            <w:tcW w:w="4102" w:type="dxa"/>
            <w:shd w:val="clear" w:color="auto" w:fill="auto"/>
            <w:noWrap/>
            <w:vAlign w:val="center"/>
            <w:hideMark/>
          </w:tcPr>
          <w:p w14:paraId="2F60260F"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Ringer Lactate Infusion</w:t>
            </w:r>
          </w:p>
        </w:tc>
        <w:tc>
          <w:tcPr>
            <w:tcW w:w="1568" w:type="dxa"/>
            <w:shd w:val="clear" w:color="auto" w:fill="auto"/>
            <w:noWrap/>
            <w:vAlign w:val="center"/>
            <w:hideMark/>
          </w:tcPr>
          <w:p w14:paraId="16A0DBE7" w14:textId="77777777" w:rsidR="00AC74A0" w:rsidRPr="005C446D" w:rsidRDefault="00AC74A0" w:rsidP="00AC74A0">
            <w:pPr>
              <w:jc w:val="cente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kern w:val="24"/>
                <w:sz w:val="24"/>
                <w:szCs w:val="24"/>
              </w:rPr>
              <w:t>Flb</w:t>
            </w:r>
            <w:proofErr w:type="spellEnd"/>
          </w:p>
        </w:tc>
        <w:tc>
          <w:tcPr>
            <w:tcW w:w="1425" w:type="dxa"/>
            <w:shd w:val="clear" w:color="auto" w:fill="auto"/>
            <w:noWrap/>
            <w:vAlign w:val="center"/>
            <w:hideMark/>
          </w:tcPr>
          <w:p w14:paraId="3420E737"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6D52E898"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8.223</w:t>
            </w:r>
          </w:p>
        </w:tc>
      </w:tr>
      <w:tr w:rsidR="005C446D" w:rsidRPr="005C446D" w14:paraId="53F71890" w14:textId="77777777" w:rsidTr="00A45ABF">
        <w:trPr>
          <w:trHeight w:val="308"/>
        </w:trPr>
        <w:tc>
          <w:tcPr>
            <w:tcW w:w="4102" w:type="dxa"/>
            <w:shd w:val="clear" w:color="auto" w:fill="auto"/>
            <w:noWrap/>
            <w:vAlign w:val="center"/>
            <w:hideMark/>
          </w:tcPr>
          <w:p w14:paraId="65800806"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Macro infusion set (01-64)</w:t>
            </w:r>
          </w:p>
        </w:tc>
        <w:tc>
          <w:tcPr>
            <w:tcW w:w="1568" w:type="dxa"/>
            <w:shd w:val="clear" w:color="auto" w:fill="auto"/>
            <w:noWrap/>
            <w:vAlign w:val="center"/>
            <w:hideMark/>
          </w:tcPr>
          <w:p w14:paraId="7BC0B2BB"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25" w:type="dxa"/>
            <w:shd w:val="clear" w:color="auto" w:fill="auto"/>
            <w:noWrap/>
            <w:vAlign w:val="center"/>
            <w:hideMark/>
          </w:tcPr>
          <w:p w14:paraId="2A95A6FF"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4A34503D"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11.966</w:t>
            </w:r>
          </w:p>
        </w:tc>
      </w:tr>
      <w:tr w:rsidR="005C446D" w:rsidRPr="005C446D" w14:paraId="6BAEC4CF" w14:textId="77777777" w:rsidTr="00A45ABF">
        <w:trPr>
          <w:trHeight w:val="349"/>
        </w:trPr>
        <w:tc>
          <w:tcPr>
            <w:tcW w:w="4102" w:type="dxa"/>
            <w:shd w:val="clear" w:color="auto" w:fill="auto"/>
            <w:noWrap/>
            <w:vAlign w:val="center"/>
            <w:hideMark/>
          </w:tcPr>
          <w:p w14:paraId="49763570" w14:textId="77777777" w:rsidR="00AC74A0" w:rsidRPr="005C446D" w:rsidRDefault="00AC74A0" w:rsidP="00A45ABF">
            <w:pP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sz w:val="24"/>
                <w:szCs w:val="24"/>
              </w:rPr>
              <w:t>Abocath</w:t>
            </w:r>
            <w:proofErr w:type="spellEnd"/>
            <w:r w:rsidRPr="005C446D">
              <w:rPr>
                <w:rFonts w:ascii="Times New Roman" w:hAnsi="Times New Roman" w:cs="Times New Roman"/>
                <w:color w:val="000000" w:themeColor="text1"/>
                <w:sz w:val="24"/>
                <w:szCs w:val="24"/>
              </w:rPr>
              <w:t xml:space="preserve"> no 16</w:t>
            </w:r>
          </w:p>
        </w:tc>
        <w:tc>
          <w:tcPr>
            <w:tcW w:w="1568" w:type="dxa"/>
            <w:shd w:val="clear" w:color="auto" w:fill="auto"/>
            <w:noWrap/>
            <w:vAlign w:val="center"/>
            <w:hideMark/>
          </w:tcPr>
          <w:p w14:paraId="56ECDD75"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25" w:type="dxa"/>
            <w:shd w:val="clear" w:color="auto" w:fill="auto"/>
            <w:noWrap/>
            <w:vAlign w:val="center"/>
            <w:hideMark/>
          </w:tcPr>
          <w:p w14:paraId="57F8AE30"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7A3F5BB9"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9.540</w:t>
            </w:r>
          </w:p>
        </w:tc>
      </w:tr>
      <w:tr w:rsidR="005C446D" w:rsidRPr="005C446D" w14:paraId="40773646" w14:textId="77777777" w:rsidTr="00A45ABF">
        <w:trPr>
          <w:trHeight w:val="363"/>
        </w:trPr>
        <w:tc>
          <w:tcPr>
            <w:tcW w:w="4102" w:type="dxa"/>
            <w:shd w:val="clear" w:color="auto" w:fill="auto"/>
            <w:noWrap/>
            <w:vAlign w:val="center"/>
            <w:hideMark/>
          </w:tcPr>
          <w:p w14:paraId="2AC13C1A" w14:textId="77777777" w:rsidR="00AC74A0" w:rsidRPr="005C446D" w:rsidRDefault="00AC74A0" w:rsidP="00A45ABF">
            <w:pP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sz w:val="24"/>
                <w:szCs w:val="24"/>
              </w:rPr>
              <w:t>Hipafix</w:t>
            </w:r>
            <w:proofErr w:type="spellEnd"/>
            <w:r w:rsidRPr="005C446D">
              <w:rPr>
                <w:rFonts w:ascii="Times New Roman" w:hAnsi="Times New Roman" w:cs="Times New Roman"/>
                <w:color w:val="000000" w:themeColor="text1"/>
                <w:sz w:val="24"/>
                <w:szCs w:val="24"/>
              </w:rPr>
              <w:t xml:space="preserve"> 10 x 500</w:t>
            </w:r>
          </w:p>
        </w:tc>
        <w:tc>
          <w:tcPr>
            <w:tcW w:w="1568" w:type="dxa"/>
            <w:shd w:val="clear" w:color="auto" w:fill="auto"/>
            <w:noWrap/>
            <w:vAlign w:val="center"/>
            <w:hideMark/>
          </w:tcPr>
          <w:p w14:paraId="522B7182"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25" w:type="dxa"/>
            <w:shd w:val="clear" w:color="auto" w:fill="auto"/>
            <w:noWrap/>
            <w:vAlign w:val="center"/>
            <w:hideMark/>
          </w:tcPr>
          <w:p w14:paraId="67AE6DAD"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2</w:t>
            </w:r>
          </w:p>
        </w:tc>
        <w:tc>
          <w:tcPr>
            <w:tcW w:w="1693" w:type="dxa"/>
            <w:shd w:val="clear" w:color="auto" w:fill="auto"/>
            <w:noWrap/>
            <w:vAlign w:val="center"/>
          </w:tcPr>
          <w:p w14:paraId="29B283CE"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448</w:t>
            </w:r>
          </w:p>
        </w:tc>
      </w:tr>
      <w:tr w:rsidR="005C446D" w:rsidRPr="005C446D" w14:paraId="5F7F2AE1" w14:textId="77777777" w:rsidTr="00A45ABF">
        <w:trPr>
          <w:trHeight w:val="336"/>
        </w:trPr>
        <w:tc>
          <w:tcPr>
            <w:tcW w:w="4102" w:type="dxa"/>
            <w:shd w:val="clear" w:color="auto" w:fill="auto"/>
            <w:noWrap/>
            <w:vAlign w:val="center"/>
            <w:hideMark/>
          </w:tcPr>
          <w:p w14:paraId="3869FD5D"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Identity Bracelet</w:t>
            </w:r>
          </w:p>
        </w:tc>
        <w:tc>
          <w:tcPr>
            <w:tcW w:w="1568" w:type="dxa"/>
            <w:shd w:val="clear" w:color="auto" w:fill="auto"/>
            <w:noWrap/>
            <w:vAlign w:val="center"/>
            <w:hideMark/>
          </w:tcPr>
          <w:p w14:paraId="55299BC5"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25" w:type="dxa"/>
            <w:shd w:val="clear" w:color="auto" w:fill="auto"/>
            <w:noWrap/>
            <w:vAlign w:val="center"/>
            <w:hideMark/>
          </w:tcPr>
          <w:p w14:paraId="3849BD3E"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7FEDC3D8"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2.090</w:t>
            </w:r>
          </w:p>
        </w:tc>
      </w:tr>
      <w:tr w:rsidR="005C446D" w:rsidRPr="005C446D" w14:paraId="258E2A15" w14:textId="77777777" w:rsidTr="00A45ABF">
        <w:trPr>
          <w:trHeight w:val="349"/>
        </w:trPr>
        <w:tc>
          <w:tcPr>
            <w:tcW w:w="4102" w:type="dxa"/>
            <w:shd w:val="clear" w:color="auto" w:fill="auto"/>
            <w:noWrap/>
            <w:vAlign w:val="center"/>
            <w:hideMark/>
          </w:tcPr>
          <w:p w14:paraId="2C9CEBDB" w14:textId="77777777" w:rsidR="00AC74A0" w:rsidRPr="005C446D" w:rsidRDefault="00AC74A0" w:rsidP="00A45ABF">
            <w:pP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sz w:val="24"/>
                <w:szCs w:val="24"/>
              </w:rPr>
              <w:t>Spuit</w:t>
            </w:r>
            <w:proofErr w:type="spellEnd"/>
            <w:r w:rsidRPr="005C446D">
              <w:rPr>
                <w:rFonts w:ascii="Times New Roman" w:hAnsi="Times New Roman" w:cs="Times New Roman"/>
                <w:color w:val="000000" w:themeColor="text1"/>
                <w:sz w:val="24"/>
                <w:szCs w:val="24"/>
              </w:rPr>
              <w:t xml:space="preserve"> 5 cc</w:t>
            </w:r>
          </w:p>
        </w:tc>
        <w:tc>
          <w:tcPr>
            <w:tcW w:w="1568" w:type="dxa"/>
            <w:shd w:val="clear" w:color="auto" w:fill="auto"/>
            <w:noWrap/>
            <w:vAlign w:val="center"/>
            <w:hideMark/>
          </w:tcPr>
          <w:p w14:paraId="1B10FC8A"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25" w:type="dxa"/>
            <w:shd w:val="clear" w:color="auto" w:fill="auto"/>
            <w:noWrap/>
            <w:vAlign w:val="center"/>
            <w:hideMark/>
          </w:tcPr>
          <w:p w14:paraId="75B4F4A6"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4</w:t>
            </w:r>
          </w:p>
        </w:tc>
        <w:tc>
          <w:tcPr>
            <w:tcW w:w="1693" w:type="dxa"/>
            <w:shd w:val="clear" w:color="auto" w:fill="auto"/>
            <w:noWrap/>
            <w:vAlign w:val="center"/>
          </w:tcPr>
          <w:p w14:paraId="3A1A7F30"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4.500</w:t>
            </w:r>
          </w:p>
        </w:tc>
      </w:tr>
      <w:tr w:rsidR="005C446D" w:rsidRPr="005C446D" w14:paraId="30DC4DFA" w14:textId="77777777" w:rsidTr="00A45ABF">
        <w:trPr>
          <w:trHeight w:val="335"/>
        </w:trPr>
        <w:tc>
          <w:tcPr>
            <w:tcW w:w="4102" w:type="dxa"/>
            <w:shd w:val="clear" w:color="auto" w:fill="auto"/>
            <w:noWrap/>
            <w:vAlign w:val="center"/>
            <w:hideMark/>
          </w:tcPr>
          <w:p w14:paraId="59F132B5" w14:textId="77777777" w:rsidR="00AC74A0" w:rsidRPr="005C446D" w:rsidRDefault="00AC74A0" w:rsidP="00A45ABF">
            <w:pP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sz w:val="24"/>
                <w:szCs w:val="24"/>
              </w:rPr>
              <w:t>Citicolin</w:t>
            </w:r>
            <w:proofErr w:type="spellEnd"/>
            <w:r w:rsidRPr="005C446D">
              <w:rPr>
                <w:rFonts w:ascii="Times New Roman" w:hAnsi="Times New Roman" w:cs="Times New Roman"/>
                <w:color w:val="000000" w:themeColor="text1"/>
                <w:sz w:val="24"/>
                <w:szCs w:val="24"/>
              </w:rPr>
              <w:t xml:space="preserve"> Injection 250 mg</w:t>
            </w:r>
          </w:p>
        </w:tc>
        <w:tc>
          <w:tcPr>
            <w:tcW w:w="1568" w:type="dxa"/>
            <w:shd w:val="clear" w:color="auto" w:fill="auto"/>
            <w:noWrap/>
            <w:vAlign w:val="center"/>
            <w:hideMark/>
          </w:tcPr>
          <w:p w14:paraId="153323BF" w14:textId="77777777" w:rsidR="00AC74A0" w:rsidRPr="005C446D" w:rsidRDefault="00AC74A0" w:rsidP="00AC74A0">
            <w:pPr>
              <w:jc w:val="cente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kern w:val="24"/>
                <w:sz w:val="24"/>
                <w:szCs w:val="24"/>
                <w:lang w:val="id-ID"/>
              </w:rPr>
              <w:t>ampoule</w:t>
            </w:r>
            <w:proofErr w:type="spellEnd"/>
          </w:p>
        </w:tc>
        <w:tc>
          <w:tcPr>
            <w:tcW w:w="1425" w:type="dxa"/>
            <w:shd w:val="clear" w:color="auto" w:fill="auto"/>
            <w:noWrap/>
            <w:vAlign w:val="center"/>
            <w:hideMark/>
          </w:tcPr>
          <w:p w14:paraId="65EF0FA1"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1F378B00"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16.040</w:t>
            </w:r>
          </w:p>
        </w:tc>
      </w:tr>
      <w:tr w:rsidR="005C446D" w:rsidRPr="005C446D" w14:paraId="61CE329D" w14:textId="77777777" w:rsidTr="00A45ABF">
        <w:trPr>
          <w:trHeight w:val="322"/>
        </w:trPr>
        <w:tc>
          <w:tcPr>
            <w:tcW w:w="4102" w:type="dxa"/>
            <w:shd w:val="clear" w:color="auto" w:fill="auto"/>
            <w:noWrap/>
            <w:vAlign w:val="center"/>
            <w:hideMark/>
          </w:tcPr>
          <w:p w14:paraId="0EA83488"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Injection of Ranitidine 50 mg</w:t>
            </w:r>
          </w:p>
        </w:tc>
        <w:tc>
          <w:tcPr>
            <w:tcW w:w="1568" w:type="dxa"/>
            <w:shd w:val="clear" w:color="auto" w:fill="auto"/>
            <w:noWrap/>
            <w:vAlign w:val="center"/>
            <w:hideMark/>
          </w:tcPr>
          <w:p w14:paraId="65F40E89" w14:textId="77777777" w:rsidR="00AC74A0" w:rsidRPr="005C446D" w:rsidRDefault="00AC74A0" w:rsidP="00AC74A0">
            <w:pPr>
              <w:jc w:val="center"/>
              <w:rPr>
                <w:rFonts w:ascii="Times New Roman" w:eastAsia="Times New Roman" w:hAnsi="Times New Roman" w:cs="Times New Roman"/>
                <w:color w:val="000000" w:themeColor="text1"/>
                <w:sz w:val="24"/>
                <w:szCs w:val="24"/>
                <w:lang w:val="id-ID"/>
              </w:rPr>
            </w:pPr>
            <w:proofErr w:type="spellStart"/>
            <w:r w:rsidRPr="005C446D">
              <w:rPr>
                <w:rFonts w:ascii="Times New Roman" w:hAnsi="Times New Roman" w:cs="Times New Roman"/>
                <w:color w:val="000000" w:themeColor="text1"/>
                <w:kern w:val="24"/>
                <w:sz w:val="24"/>
                <w:szCs w:val="24"/>
                <w:lang w:val="id-ID"/>
              </w:rPr>
              <w:t>ampoule</w:t>
            </w:r>
            <w:proofErr w:type="spellEnd"/>
          </w:p>
        </w:tc>
        <w:tc>
          <w:tcPr>
            <w:tcW w:w="1425" w:type="dxa"/>
            <w:shd w:val="clear" w:color="auto" w:fill="auto"/>
            <w:noWrap/>
            <w:vAlign w:val="center"/>
            <w:hideMark/>
          </w:tcPr>
          <w:p w14:paraId="5EDE8266"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193D5AB9"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3.795</w:t>
            </w:r>
          </w:p>
        </w:tc>
      </w:tr>
      <w:tr w:rsidR="005C446D" w:rsidRPr="005C446D" w14:paraId="4BEA6621" w14:textId="77777777" w:rsidTr="00A45ABF">
        <w:trPr>
          <w:trHeight w:val="307"/>
        </w:trPr>
        <w:tc>
          <w:tcPr>
            <w:tcW w:w="4102" w:type="dxa"/>
            <w:shd w:val="clear" w:color="auto" w:fill="auto"/>
            <w:noWrap/>
            <w:vAlign w:val="center"/>
            <w:hideMark/>
          </w:tcPr>
          <w:p w14:paraId="3E788ED9"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 xml:space="preserve">Injection </w:t>
            </w:r>
            <w:proofErr w:type="spellStart"/>
            <w:r w:rsidRPr="005C446D">
              <w:rPr>
                <w:rFonts w:ascii="Times New Roman" w:hAnsi="Times New Roman" w:cs="Times New Roman"/>
                <w:color w:val="000000" w:themeColor="text1"/>
                <w:sz w:val="24"/>
                <w:szCs w:val="24"/>
              </w:rPr>
              <w:t>Ketorolak</w:t>
            </w:r>
            <w:proofErr w:type="spellEnd"/>
            <w:r w:rsidRPr="005C446D">
              <w:rPr>
                <w:rFonts w:ascii="Times New Roman" w:hAnsi="Times New Roman" w:cs="Times New Roman"/>
                <w:color w:val="000000" w:themeColor="text1"/>
                <w:sz w:val="24"/>
                <w:szCs w:val="24"/>
              </w:rPr>
              <w:t xml:space="preserve"> 30 mg</w:t>
            </w:r>
          </w:p>
        </w:tc>
        <w:tc>
          <w:tcPr>
            <w:tcW w:w="1568" w:type="dxa"/>
            <w:shd w:val="clear" w:color="auto" w:fill="auto"/>
            <w:noWrap/>
            <w:vAlign w:val="center"/>
            <w:hideMark/>
          </w:tcPr>
          <w:p w14:paraId="320CDE32" w14:textId="77777777" w:rsidR="00AC74A0" w:rsidRPr="005C446D" w:rsidRDefault="00AC74A0" w:rsidP="00AC74A0">
            <w:pPr>
              <w:jc w:val="center"/>
              <w:rPr>
                <w:rFonts w:ascii="Times New Roman" w:eastAsia="Times New Roman" w:hAnsi="Times New Roman" w:cs="Times New Roman"/>
                <w:color w:val="000000" w:themeColor="text1"/>
                <w:sz w:val="24"/>
                <w:szCs w:val="24"/>
                <w:lang w:val="id-ID"/>
              </w:rPr>
            </w:pPr>
            <w:proofErr w:type="spellStart"/>
            <w:r w:rsidRPr="005C446D">
              <w:rPr>
                <w:rFonts w:ascii="Times New Roman" w:hAnsi="Times New Roman" w:cs="Times New Roman"/>
                <w:color w:val="000000" w:themeColor="text1"/>
                <w:kern w:val="24"/>
                <w:sz w:val="24"/>
                <w:szCs w:val="24"/>
                <w:lang w:val="id-ID"/>
              </w:rPr>
              <w:t>ampoule</w:t>
            </w:r>
            <w:proofErr w:type="spellEnd"/>
          </w:p>
        </w:tc>
        <w:tc>
          <w:tcPr>
            <w:tcW w:w="1425" w:type="dxa"/>
            <w:shd w:val="clear" w:color="auto" w:fill="auto"/>
            <w:noWrap/>
            <w:vAlign w:val="center"/>
            <w:hideMark/>
          </w:tcPr>
          <w:p w14:paraId="32B4E2F5"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60738CB8"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14.830</w:t>
            </w:r>
          </w:p>
        </w:tc>
      </w:tr>
      <w:tr w:rsidR="005C446D" w:rsidRPr="005C446D" w14:paraId="0A1D4D08" w14:textId="77777777" w:rsidTr="00A45ABF">
        <w:trPr>
          <w:trHeight w:val="252"/>
        </w:trPr>
        <w:tc>
          <w:tcPr>
            <w:tcW w:w="4102" w:type="dxa"/>
            <w:shd w:val="clear" w:color="auto" w:fill="auto"/>
            <w:noWrap/>
            <w:vAlign w:val="center"/>
            <w:hideMark/>
          </w:tcPr>
          <w:p w14:paraId="7A5CE06B"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 xml:space="preserve">sterile </w:t>
            </w:r>
            <w:proofErr w:type="spellStart"/>
            <w:r w:rsidRPr="005C446D">
              <w:rPr>
                <w:rFonts w:ascii="Times New Roman" w:hAnsi="Times New Roman" w:cs="Times New Roman"/>
                <w:color w:val="000000" w:themeColor="text1"/>
                <w:sz w:val="24"/>
                <w:szCs w:val="24"/>
              </w:rPr>
              <w:t>handscoon</w:t>
            </w:r>
            <w:proofErr w:type="spellEnd"/>
            <w:r w:rsidRPr="005C446D">
              <w:rPr>
                <w:rFonts w:ascii="Times New Roman" w:hAnsi="Times New Roman" w:cs="Times New Roman"/>
                <w:color w:val="000000" w:themeColor="text1"/>
                <w:sz w:val="24"/>
                <w:szCs w:val="24"/>
              </w:rPr>
              <w:t xml:space="preserve"> no 7</w:t>
            </w:r>
          </w:p>
        </w:tc>
        <w:tc>
          <w:tcPr>
            <w:tcW w:w="1568" w:type="dxa"/>
            <w:shd w:val="clear" w:color="auto" w:fill="auto"/>
            <w:noWrap/>
            <w:vAlign w:val="center"/>
            <w:hideMark/>
          </w:tcPr>
          <w:p w14:paraId="581A604E"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25" w:type="dxa"/>
            <w:shd w:val="clear" w:color="auto" w:fill="auto"/>
            <w:noWrap/>
            <w:vAlign w:val="center"/>
            <w:hideMark/>
          </w:tcPr>
          <w:p w14:paraId="06ED7EDC"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693" w:type="dxa"/>
            <w:shd w:val="clear" w:color="auto" w:fill="auto"/>
            <w:noWrap/>
            <w:vAlign w:val="center"/>
          </w:tcPr>
          <w:p w14:paraId="60286E53"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7.590</w:t>
            </w:r>
          </w:p>
        </w:tc>
      </w:tr>
      <w:tr w:rsidR="005C446D" w:rsidRPr="005C446D" w14:paraId="679434DF" w14:textId="77777777" w:rsidTr="00A45ABF">
        <w:trPr>
          <w:trHeight w:val="309"/>
        </w:trPr>
        <w:tc>
          <w:tcPr>
            <w:tcW w:w="4102" w:type="dxa"/>
            <w:shd w:val="clear" w:color="auto" w:fill="auto"/>
            <w:noWrap/>
            <w:vAlign w:val="center"/>
            <w:hideMark/>
          </w:tcPr>
          <w:p w14:paraId="2120EE72"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6x9 folding gauze</w:t>
            </w:r>
          </w:p>
        </w:tc>
        <w:tc>
          <w:tcPr>
            <w:tcW w:w="1568" w:type="dxa"/>
            <w:shd w:val="clear" w:color="auto" w:fill="auto"/>
            <w:noWrap/>
            <w:vAlign w:val="center"/>
            <w:hideMark/>
          </w:tcPr>
          <w:p w14:paraId="07684A48"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Sheet</w:t>
            </w:r>
          </w:p>
        </w:tc>
        <w:tc>
          <w:tcPr>
            <w:tcW w:w="1425" w:type="dxa"/>
            <w:shd w:val="clear" w:color="auto" w:fill="auto"/>
            <w:noWrap/>
            <w:vAlign w:val="center"/>
            <w:hideMark/>
          </w:tcPr>
          <w:p w14:paraId="46F66ED8"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2</w:t>
            </w:r>
          </w:p>
        </w:tc>
        <w:tc>
          <w:tcPr>
            <w:tcW w:w="1693" w:type="dxa"/>
            <w:shd w:val="clear" w:color="auto" w:fill="auto"/>
            <w:noWrap/>
            <w:vAlign w:val="center"/>
          </w:tcPr>
          <w:p w14:paraId="77072144"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1.100</w:t>
            </w:r>
          </w:p>
        </w:tc>
      </w:tr>
      <w:tr w:rsidR="005C446D" w:rsidRPr="005C446D" w14:paraId="7C172315" w14:textId="77777777" w:rsidTr="00A45ABF">
        <w:trPr>
          <w:trHeight w:val="308"/>
        </w:trPr>
        <w:tc>
          <w:tcPr>
            <w:tcW w:w="4102" w:type="dxa"/>
            <w:shd w:val="clear" w:color="auto" w:fill="auto"/>
            <w:noWrap/>
            <w:vAlign w:val="center"/>
            <w:hideMark/>
          </w:tcPr>
          <w:p w14:paraId="3BBD42ED" w14:textId="77777777" w:rsidR="00AC74A0" w:rsidRPr="005C446D" w:rsidRDefault="00AC74A0" w:rsidP="00A45ABF">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Alcohol swab</w:t>
            </w:r>
          </w:p>
        </w:tc>
        <w:tc>
          <w:tcPr>
            <w:tcW w:w="1568" w:type="dxa"/>
            <w:shd w:val="clear" w:color="auto" w:fill="auto"/>
            <w:noWrap/>
            <w:vAlign w:val="center"/>
            <w:hideMark/>
          </w:tcPr>
          <w:p w14:paraId="66BD57DC"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25" w:type="dxa"/>
            <w:shd w:val="clear" w:color="auto" w:fill="auto"/>
            <w:noWrap/>
            <w:vAlign w:val="center"/>
            <w:hideMark/>
          </w:tcPr>
          <w:p w14:paraId="08E083FE"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2</w:t>
            </w:r>
          </w:p>
        </w:tc>
        <w:tc>
          <w:tcPr>
            <w:tcW w:w="1693" w:type="dxa"/>
            <w:shd w:val="clear" w:color="auto" w:fill="auto"/>
            <w:noWrap/>
            <w:vAlign w:val="center"/>
          </w:tcPr>
          <w:p w14:paraId="28345E6C"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254</w:t>
            </w:r>
          </w:p>
        </w:tc>
      </w:tr>
      <w:tr w:rsidR="00AC74A0" w:rsidRPr="005C446D" w14:paraId="00649E46" w14:textId="77777777" w:rsidTr="004C4110">
        <w:trPr>
          <w:trHeight w:val="269"/>
        </w:trPr>
        <w:tc>
          <w:tcPr>
            <w:tcW w:w="4102" w:type="dxa"/>
            <w:shd w:val="clear" w:color="auto" w:fill="auto"/>
            <w:noWrap/>
          </w:tcPr>
          <w:p w14:paraId="1EA9D245" w14:textId="77777777" w:rsidR="00AC74A0" w:rsidRPr="005C446D" w:rsidRDefault="00AC74A0" w:rsidP="00AC74A0">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Total Direct Cost</w:t>
            </w:r>
          </w:p>
        </w:tc>
        <w:tc>
          <w:tcPr>
            <w:tcW w:w="4686" w:type="dxa"/>
            <w:gridSpan w:val="3"/>
            <w:shd w:val="clear" w:color="auto" w:fill="auto"/>
            <w:noWrap/>
          </w:tcPr>
          <w:p w14:paraId="73F45B6F" w14:textId="77777777" w:rsidR="00AC74A0" w:rsidRPr="005C446D" w:rsidRDefault="00AC74A0" w:rsidP="00AC74A0">
            <w:pPr>
              <w:jc w:val="right"/>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 </w:t>
            </w:r>
            <w:r w:rsidRPr="005C446D">
              <w:rPr>
                <w:rFonts w:ascii="Times New Roman" w:eastAsia="Times New Roman" w:hAnsi="Times New Roman" w:cs="Times New Roman"/>
                <w:b/>
                <w:color w:val="000000" w:themeColor="text1"/>
                <w:sz w:val="24"/>
                <w:szCs w:val="24"/>
              </w:rPr>
              <w:t>783.176</w:t>
            </w:r>
            <w:r w:rsidRPr="005C446D">
              <w:rPr>
                <w:rFonts w:ascii="Times New Roman" w:eastAsia="Times New Roman" w:hAnsi="Times New Roman" w:cs="Times New Roman"/>
                <w:color w:val="000000" w:themeColor="text1"/>
                <w:sz w:val="24"/>
                <w:szCs w:val="24"/>
              </w:rPr>
              <w:t> </w:t>
            </w:r>
          </w:p>
        </w:tc>
      </w:tr>
    </w:tbl>
    <w:p w14:paraId="72C1CF77" w14:textId="77777777" w:rsidR="00AC74A0" w:rsidRPr="005C446D" w:rsidRDefault="00AC74A0" w:rsidP="00AC74A0">
      <w:pPr>
        <w:pStyle w:val="ListParagraph"/>
        <w:spacing w:after="0" w:line="240" w:lineRule="auto"/>
        <w:ind w:left="360"/>
        <w:jc w:val="both"/>
        <w:rPr>
          <w:rFonts w:ascii="Times New Roman" w:hAnsi="Times New Roman"/>
          <w:b/>
          <w:color w:val="000000" w:themeColor="text1"/>
          <w:sz w:val="24"/>
          <w:szCs w:val="24"/>
        </w:rPr>
      </w:pPr>
    </w:p>
    <w:p w14:paraId="5E030CB6" w14:textId="360B894B" w:rsidR="00AC74A0" w:rsidRPr="005C446D" w:rsidRDefault="00AC74A0" w:rsidP="00AC74A0">
      <w:pPr>
        <w:pStyle w:val="ListParagraph"/>
        <w:spacing w:after="0" w:line="240" w:lineRule="auto"/>
        <w:ind w:left="360"/>
        <w:jc w:val="both"/>
        <w:rPr>
          <w:rFonts w:ascii="Times New Roman" w:hAnsi="Times New Roman"/>
          <w:b/>
          <w:color w:val="000000" w:themeColor="text1"/>
          <w:sz w:val="24"/>
          <w:szCs w:val="24"/>
        </w:rPr>
      </w:pPr>
      <w:r w:rsidRPr="005C446D">
        <w:rPr>
          <w:rFonts w:ascii="Times New Roman" w:hAnsi="Times New Roman"/>
          <w:bCs/>
          <w:color w:val="000000" w:themeColor="text1"/>
          <w:sz w:val="24"/>
          <w:szCs w:val="24"/>
          <w:lang w:val="id-ID"/>
        </w:rPr>
        <w:t xml:space="preserve">Tabel 4. </w:t>
      </w:r>
      <w:r w:rsidRPr="005C446D">
        <w:rPr>
          <w:rFonts w:ascii="Times New Roman" w:hAnsi="Times New Roman"/>
          <w:bCs/>
          <w:color w:val="000000" w:themeColor="text1"/>
          <w:sz w:val="24"/>
          <w:szCs w:val="24"/>
        </w:rPr>
        <w:t xml:space="preserve">Direct Cost of </w:t>
      </w:r>
      <w:proofErr w:type="spellStart"/>
      <w:r w:rsidRPr="005C446D">
        <w:rPr>
          <w:rFonts w:ascii="Times New Roman" w:hAnsi="Times New Roman"/>
          <w:bCs/>
          <w:color w:val="000000" w:themeColor="text1"/>
          <w:sz w:val="24"/>
          <w:szCs w:val="24"/>
        </w:rPr>
        <w:t>Melati</w:t>
      </w:r>
      <w:proofErr w:type="spellEnd"/>
      <w:r w:rsidRPr="005C446D">
        <w:rPr>
          <w:rFonts w:ascii="Times New Roman" w:hAnsi="Times New Roman"/>
          <w:bCs/>
          <w:color w:val="000000" w:themeColor="text1"/>
          <w:sz w:val="24"/>
          <w:szCs w:val="24"/>
        </w:rPr>
        <w:t xml:space="preserve"> Ward</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3"/>
        <w:gridCol w:w="1557"/>
        <w:gridCol w:w="1417"/>
        <w:gridCol w:w="1701"/>
      </w:tblGrid>
      <w:tr w:rsidR="005C446D" w:rsidRPr="005C446D" w14:paraId="7028FDFA" w14:textId="77777777" w:rsidTr="005C14D1">
        <w:trPr>
          <w:trHeight w:val="675"/>
          <w:tblHeader/>
        </w:trPr>
        <w:tc>
          <w:tcPr>
            <w:tcW w:w="4113" w:type="dxa"/>
            <w:shd w:val="clear" w:color="auto" w:fill="auto"/>
            <w:noWrap/>
            <w:vAlign w:val="center"/>
            <w:hideMark/>
          </w:tcPr>
          <w:p w14:paraId="66B044C6" w14:textId="77777777" w:rsidR="00AC74A0" w:rsidRPr="005C446D" w:rsidRDefault="00AC74A0" w:rsidP="00A45ABF">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Cost Category</w:t>
            </w:r>
          </w:p>
        </w:tc>
        <w:tc>
          <w:tcPr>
            <w:tcW w:w="1557" w:type="dxa"/>
            <w:shd w:val="clear" w:color="auto" w:fill="auto"/>
            <w:noWrap/>
            <w:vAlign w:val="center"/>
            <w:hideMark/>
          </w:tcPr>
          <w:p w14:paraId="134B3D4B" w14:textId="77777777" w:rsidR="00AC74A0" w:rsidRPr="005C446D" w:rsidRDefault="00AC74A0" w:rsidP="00A45ABF">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Unit</w:t>
            </w:r>
          </w:p>
        </w:tc>
        <w:tc>
          <w:tcPr>
            <w:tcW w:w="1417" w:type="dxa"/>
            <w:shd w:val="clear" w:color="auto" w:fill="auto"/>
            <w:vAlign w:val="center"/>
            <w:hideMark/>
          </w:tcPr>
          <w:p w14:paraId="487B2629" w14:textId="77777777" w:rsidR="00AC74A0" w:rsidRPr="005C446D" w:rsidRDefault="00AC74A0" w:rsidP="00A45ABF">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Total Unit</w:t>
            </w:r>
          </w:p>
        </w:tc>
        <w:tc>
          <w:tcPr>
            <w:tcW w:w="1701" w:type="dxa"/>
            <w:shd w:val="clear" w:color="auto" w:fill="auto"/>
            <w:noWrap/>
            <w:vAlign w:val="center"/>
            <w:hideMark/>
          </w:tcPr>
          <w:p w14:paraId="3773CA69" w14:textId="77777777" w:rsidR="00AC74A0" w:rsidRPr="005C446D" w:rsidRDefault="00AC74A0" w:rsidP="00A45ABF">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Total</w:t>
            </w:r>
          </w:p>
        </w:tc>
      </w:tr>
      <w:tr w:rsidR="005C446D" w:rsidRPr="005C446D" w14:paraId="67828C1C" w14:textId="77777777" w:rsidTr="004C4110">
        <w:trPr>
          <w:trHeight w:val="588"/>
        </w:trPr>
        <w:tc>
          <w:tcPr>
            <w:tcW w:w="4113" w:type="dxa"/>
            <w:shd w:val="clear" w:color="auto" w:fill="auto"/>
            <w:noWrap/>
            <w:vAlign w:val="center"/>
            <w:hideMark/>
          </w:tcPr>
          <w:p w14:paraId="6FA445DF" w14:textId="77777777" w:rsidR="00AC74A0" w:rsidRPr="005C446D" w:rsidRDefault="00AC74A0" w:rsidP="00AC74A0">
            <w:pPr>
              <w:rPr>
                <w:rFonts w:ascii="Times New Roman" w:eastAsia="Times New Roman" w:hAnsi="Times New Roman" w:cs="Times New Roman"/>
                <w:color w:val="000000" w:themeColor="text1"/>
                <w:sz w:val="24"/>
                <w:szCs w:val="24"/>
              </w:rPr>
            </w:pPr>
            <w:r w:rsidRPr="005C446D">
              <w:rPr>
                <w:rFonts w:ascii="Times New Roman" w:hAnsi="Times New Roman" w:cs="Times New Roman"/>
                <w:bCs/>
                <w:color w:val="000000" w:themeColor="text1"/>
                <w:sz w:val="24"/>
                <w:szCs w:val="24"/>
              </w:rPr>
              <w:t>Class III / day room rental fee</w:t>
            </w:r>
          </w:p>
        </w:tc>
        <w:tc>
          <w:tcPr>
            <w:tcW w:w="1557" w:type="dxa"/>
            <w:shd w:val="clear" w:color="auto" w:fill="auto"/>
            <w:noWrap/>
            <w:vAlign w:val="center"/>
            <w:hideMark/>
          </w:tcPr>
          <w:p w14:paraId="0C196524" w14:textId="77777777" w:rsidR="00AC74A0" w:rsidRPr="005C446D" w:rsidRDefault="00AC74A0" w:rsidP="00AC74A0">
            <w:pPr>
              <w:jc w:val="center"/>
              <w:rPr>
                <w:rFonts w:ascii="Times New Roman" w:eastAsia="Times New Roman" w:hAnsi="Times New Roman" w:cs="Times New Roman"/>
                <w:color w:val="000000" w:themeColor="text1"/>
                <w:w w:val="90"/>
                <w:sz w:val="24"/>
                <w:szCs w:val="24"/>
              </w:rPr>
            </w:pPr>
            <w:r w:rsidRPr="005C446D">
              <w:rPr>
                <w:rFonts w:ascii="Times New Roman" w:hAnsi="Times New Roman" w:cs="Times New Roman"/>
                <w:bCs/>
                <w:color w:val="000000" w:themeColor="text1"/>
                <w:w w:val="90"/>
                <w:kern w:val="24"/>
                <w:sz w:val="24"/>
                <w:szCs w:val="24"/>
              </w:rPr>
              <w:t>Activity</w:t>
            </w:r>
          </w:p>
        </w:tc>
        <w:tc>
          <w:tcPr>
            <w:tcW w:w="1417" w:type="dxa"/>
            <w:shd w:val="clear" w:color="auto" w:fill="auto"/>
            <w:noWrap/>
            <w:vAlign w:val="center"/>
          </w:tcPr>
          <w:p w14:paraId="4549C38F" w14:textId="77777777" w:rsidR="00AC74A0" w:rsidRPr="005C446D" w:rsidRDefault="00AC74A0" w:rsidP="00AC74A0">
            <w:pPr>
              <w:jc w:val="center"/>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2</w:t>
            </w:r>
          </w:p>
        </w:tc>
        <w:tc>
          <w:tcPr>
            <w:tcW w:w="1701" w:type="dxa"/>
            <w:shd w:val="clear" w:color="auto" w:fill="auto"/>
            <w:noWrap/>
            <w:vAlign w:val="center"/>
          </w:tcPr>
          <w:p w14:paraId="39E0289B" w14:textId="77777777" w:rsidR="00AC74A0" w:rsidRPr="005C446D" w:rsidRDefault="00AC74A0" w:rsidP="00AC74A0">
            <w:pPr>
              <w:jc w:val="right"/>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50.000</w:t>
            </w:r>
          </w:p>
        </w:tc>
      </w:tr>
      <w:tr w:rsidR="005C446D" w:rsidRPr="005C446D" w14:paraId="5E4A7E34" w14:textId="77777777" w:rsidTr="004C4110">
        <w:trPr>
          <w:trHeight w:val="322"/>
        </w:trPr>
        <w:tc>
          <w:tcPr>
            <w:tcW w:w="4113" w:type="dxa"/>
            <w:shd w:val="clear" w:color="auto" w:fill="auto"/>
            <w:noWrap/>
            <w:vAlign w:val="center"/>
            <w:hideMark/>
          </w:tcPr>
          <w:p w14:paraId="16460B28" w14:textId="77777777" w:rsidR="00AC74A0" w:rsidRPr="005C446D" w:rsidRDefault="00AC74A0" w:rsidP="00AC74A0">
            <w:pP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sz w:val="24"/>
                <w:szCs w:val="24"/>
              </w:rPr>
              <w:t>Visite</w:t>
            </w:r>
            <w:proofErr w:type="spellEnd"/>
            <w:r w:rsidRPr="005C446D">
              <w:rPr>
                <w:rFonts w:ascii="Times New Roman" w:hAnsi="Times New Roman" w:cs="Times New Roman"/>
                <w:color w:val="000000" w:themeColor="text1"/>
                <w:sz w:val="24"/>
                <w:szCs w:val="24"/>
              </w:rPr>
              <w:t xml:space="preserve"> Specialist Surgeon</w:t>
            </w:r>
          </w:p>
        </w:tc>
        <w:tc>
          <w:tcPr>
            <w:tcW w:w="1557" w:type="dxa"/>
            <w:shd w:val="clear" w:color="auto" w:fill="auto"/>
            <w:noWrap/>
            <w:vAlign w:val="center"/>
            <w:hideMark/>
          </w:tcPr>
          <w:p w14:paraId="1826B01C" w14:textId="77777777" w:rsidR="00AC74A0" w:rsidRPr="005C446D" w:rsidRDefault="00AC74A0" w:rsidP="00AC74A0">
            <w:pPr>
              <w:jc w:val="center"/>
              <w:rPr>
                <w:rFonts w:ascii="Times New Roman" w:eastAsia="Times New Roman" w:hAnsi="Times New Roman" w:cs="Times New Roman"/>
                <w:color w:val="000000" w:themeColor="text1"/>
                <w:w w:val="90"/>
                <w:sz w:val="24"/>
                <w:szCs w:val="24"/>
              </w:rPr>
            </w:pPr>
            <w:r w:rsidRPr="005C446D">
              <w:rPr>
                <w:rFonts w:ascii="Times New Roman" w:hAnsi="Times New Roman" w:cs="Times New Roman"/>
                <w:color w:val="000000" w:themeColor="text1"/>
                <w:w w:val="90"/>
                <w:kern w:val="24"/>
                <w:sz w:val="24"/>
                <w:szCs w:val="24"/>
              </w:rPr>
              <w:t>Activity</w:t>
            </w:r>
          </w:p>
        </w:tc>
        <w:tc>
          <w:tcPr>
            <w:tcW w:w="1417" w:type="dxa"/>
            <w:shd w:val="clear" w:color="auto" w:fill="auto"/>
            <w:noWrap/>
            <w:vAlign w:val="center"/>
          </w:tcPr>
          <w:p w14:paraId="1F3EECF4" w14:textId="77777777" w:rsidR="00AC74A0" w:rsidRPr="005C446D" w:rsidRDefault="00AC74A0" w:rsidP="00AC74A0">
            <w:pPr>
              <w:jc w:val="center"/>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2</w:t>
            </w:r>
          </w:p>
        </w:tc>
        <w:tc>
          <w:tcPr>
            <w:tcW w:w="1701" w:type="dxa"/>
            <w:shd w:val="clear" w:color="auto" w:fill="auto"/>
            <w:noWrap/>
            <w:vAlign w:val="center"/>
          </w:tcPr>
          <w:p w14:paraId="4C150AC1" w14:textId="77777777" w:rsidR="00AC74A0" w:rsidRPr="005C446D" w:rsidRDefault="00AC74A0" w:rsidP="00AC74A0">
            <w:pPr>
              <w:jc w:val="right"/>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70.000</w:t>
            </w:r>
          </w:p>
        </w:tc>
      </w:tr>
      <w:tr w:rsidR="005C446D" w:rsidRPr="005C446D" w14:paraId="439DD4E4" w14:textId="77777777" w:rsidTr="004C4110">
        <w:trPr>
          <w:trHeight w:val="308"/>
        </w:trPr>
        <w:tc>
          <w:tcPr>
            <w:tcW w:w="4113" w:type="dxa"/>
            <w:shd w:val="clear" w:color="auto" w:fill="auto"/>
            <w:noWrap/>
            <w:vAlign w:val="center"/>
            <w:hideMark/>
          </w:tcPr>
          <w:p w14:paraId="6AD886E7" w14:textId="77777777" w:rsidR="00AC74A0" w:rsidRPr="005C446D" w:rsidRDefault="00AC74A0" w:rsidP="00AC74A0">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Nutrition Accommodation</w:t>
            </w:r>
          </w:p>
        </w:tc>
        <w:tc>
          <w:tcPr>
            <w:tcW w:w="1557" w:type="dxa"/>
            <w:shd w:val="clear" w:color="auto" w:fill="auto"/>
            <w:noWrap/>
            <w:vAlign w:val="center"/>
            <w:hideMark/>
          </w:tcPr>
          <w:p w14:paraId="0FBC28FB" w14:textId="77777777" w:rsidR="00AC74A0" w:rsidRPr="005C446D" w:rsidRDefault="00AC74A0" w:rsidP="00AC74A0">
            <w:pPr>
              <w:jc w:val="center"/>
              <w:rPr>
                <w:rFonts w:ascii="Times New Roman" w:eastAsia="Times New Roman" w:hAnsi="Times New Roman" w:cs="Times New Roman"/>
                <w:color w:val="000000" w:themeColor="text1"/>
                <w:w w:val="90"/>
                <w:sz w:val="24"/>
                <w:szCs w:val="24"/>
              </w:rPr>
            </w:pPr>
            <w:r w:rsidRPr="005C446D">
              <w:rPr>
                <w:rFonts w:ascii="Times New Roman" w:hAnsi="Times New Roman" w:cs="Times New Roman"/>
                <w:color w:val="000000" w:themeColor="text1"/>
                <w:w w:val="90"/>
                <w:kern w:val="24"/>
                <w:sz w:val="24"/>
                <w:szCs w:val="24"/>
              </w:rPr>
              <w:t>Feed</w:t>
            </w:r>
          </w:p>
        </w:tc>
        <w:tc>
          <w:tcPr>
            <w:tcW w:w="1417" w:type="dxa"/>
            <w:shd w:val="clear" w:color="auto" w:fill="auto"/>
            <w:noWrap/>
            <w:vAlign w:val="center"/>
          </w:tcPr>
          <w:p w14:paraId="407CEFBD" w14:textId="77777777" w:rsidR="00AC74A0" w:rsidRPr="005C446D" w:rsidRDefault="00AC74A0" w:rsidP="00AC74A0">
            <w:pPr>
              <w:jc w:val="center"/>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2</w:t>
            </w:r>
          </w:p>
        </w:tc>
        <w:tc>
          <w:tcPr>
            <w:tcW w:w="1701" w:type="dxa"/>
            <w:shd w:val="clear" w:color="auto" w:fill="auto"/>
            <w:noWrap/>
            <w:vAlign w:val="center"/>
          </w:tcPr>
          <w:p w14:paraId="1405F53D" w14:textId="77777777" w:rsidR="00AC74A0" w:rsidRPr="005C446D" w:rsidRDefault="00AC74A0" w:rsidP="00AC74A0">
            <w:pPr>
              <w:jc w:val="right"/>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30.000</w:t>
            </w:r>
          </w:p>
        </w:tc>
      </w:tr>
      <w:tr w:rsidR="005C446D" w:rsidRPr="005C446D" w14:paraId="5F662695" w14:textId="77777777" w:rsidTr="004C4110">
        <w:trPr>
          <w:trHeight w:val="335"/>
        </w:trPr>
        <w:tc>
          <w:tcPr>
            <w:tcW w:w="4113" w:type="dxa"/>
            <w:shd w:val="clear" w:color="auto" w:fill="auto"/>
            <w:noWrap/>
            <w:vAlign w:val="center"/>
            <w:hideMark/>
          </w:tcPr>
          <w:p w14:paraId="18FCFD5B" w14:textId="77777777" w:rsidR="00AC74A0" w:rsidRPr="005C446D" w:rsidRDefault="00AC74A0" w:rsidP="00AC74A0">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 xml:space="preserve">Nasal </w:t>
            </w:r>
            <w:proofErr w:type="spellStart"/>
            <w:r w:rsidRPr="005C446D">
              <w:rPr>
                <w:rFonts w:ascii="Times New Roman" w:hAnsi="Times New Roman" w:cs="Times New Roman"/>
                <w:color w:val="000000" w:themeColor="text1"/>
                <w:sz w:val="24"/>
                <w:szCs w:val="24"/>
              </w:rPr>
              <w:t>canul</w:t>
            </w:r>
            <w:proofErr w:type="spellEnd"/>
            <w:r w:rsidRPr="005C446D">
              <w:rPr>
                <w:rFonts w:ascii="Times New Roman" w:hAnsi="Times New Roman" w:cs="Times New Roman"/>
                <w:color w:val="000000" w:themeColor="text1"/>
                <w:sz w:val="24"/>
                <w:szCs w:val="24"/>
              </w:rPr>
              <w:t xml:space="preserve"> Adult</w:t>
            </w:r>
          </w:p>
        </w:tc>
        <w:tc>
          <w:tcPr>
            <w:tcW w:w="1557" w:type="dxa"/>
            <w:shd w:val="clear" w:color="auto" w:fill="auto"/>
            <w:noWrap/>
            <w:vAlign w:val="center"/>
            <w:hideMark/>
          </w:tcPr>
          <w:p w14:paraId="3C904D52" w14:textId="77777777" w:rsidR="00AC74A0" w:rsidRPr="005C446D" w:rsidRDefault="00AC74A0" w:rsidP="00AC74A0">
            <w:pPr>
              <w:jc w:val="center"/>
              <w:rPr>
                <w:rFonts w:ascii="Times New Roman" w:eastAsia="Times New Roman" w:hAnsi="Times New Roman" w:cs="Times New Roman"/>
                <w:color w:val="000000" w:themeColor="text1"/>
                <w:w w:val="90"/>
                <w:sz w:val="24"/>
                <w:szCs w:val="24"/>
              </w:rPr>
            </w:pPr>
            <w:r w:rsidRPr="005C446D">
              <w:rPr>
                <w:rFonts w:ascii="Times New Roman" w:hAnsi="Times New Roman" w:cs="Times New Roman"/>
                <w:color w:val="000000" w:themeColor="text1"/>
                <w:w w:val="90"/>
                <w:kern w:val="24"/>
                <w:sz w:val="24"/>
                <w:szCs w:val="24"/>
              </w:rPr>
              <w:t>Pcs</w:t>
            </w:r>
          </w:p>
        </w:tc>
        <w:tc>
          <w:tcPr>
            <w:tcW w:w="1417" w:type="dxa"/>
            <w:shd w:val="clear" w:color="auto" w:fill="auto"/>
            <w:noWrap/>
            <w:vAlign w:val="center"/>
            <w:hideMark/>
          </w:tcPr>
          <w:p w14:paraId="06F324A6" w14:textId="77777777" w:rsidR="00AC74A0" w:rsidRPr="005C446D" w:rsidRDefault="00AC74A0" w:rsidP="00AC74A0">
            <w:pPr>
              <w:jc w:val="center"/>
              <w:rPr>
                <w:rFonts w:ascii="Times New Roman" w:eastAsia="Times New Roman" w:hAnsi="Times New Roman" w:cs="Times New Roman"/>
                <w:color w:val="000000" w:themeColor="text1"/>
                <w:w w:val="90"/>
                <w:sz w:val="24"/>
                <w:szCs w:val="24"/>
              </w:rPr>
            </w:pPr>
            <w:r w:rsidRPr="005C446D">
              <w:rPr>
                <w:rFonts w:ascii="Times New Roman" w:eastAsia="Times New Roman" w:hAnsi="Times New Roman" w:cs="Times New Roman"/>
                <w:color w:val="000000" w:themeColor="text1"/>
                <w:w w:val="90"/>
                <w:sz w:val="24"/>
                <w:szCs w:val="24"/>
              </w:rPr>
              <w:t>1</w:t>
            </w:r>
          </w:p>
        </w:tc>
        <w:tc>
          <w:tcPr>
            <w:tcW w:w="1701" w:type="dxa"/>
            <w:shd w:val="clear" w:color="auto" w:fill="auto"/>
            <w:noWrap/>
            <w:vAlign w:val="center"/>
          </w:tcPr>
          <w:p w14:paraId="38D1B053" w14:textId="77777777" w:rsidR="00AC74A0" w:rsidRPr="005C446D" w:rsidRDefault="00AC74A0" w:rsidP="00AC74A0">
            <w:pPr>
              <w:jc w:val="right"/>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12.000</w:t>
            </w:r>
          </w:p>
        </w:tc>
      </w:tr>
      <w:tr w:rsidR="005C446D" w:rsidRPr="005C446D" w14:paraId="47515051" w14:textId="77777777" w:rsidTr="004C4110">
        <w:trPr>
          <w:trHeight w:val="307"/>
        </w:trPr>
        <w:tc>
          <w:tcPr>
            <w:tcW w:w="4113" w:type="dxa"/>
            <w:shd w:val="clear" w:color="auto" w:fill="auto"/>
            <w:noWrap/>
            <w:vAlign w:val="center"/>
            <w:hideMark/>
          </w:tcPr>
          <w:p w14:paraId="6CE31870" w14:textId="77777777" w:rsidR="00AC74A0" w:rsidRPr="005C446D" w:rsidRDefault="00AC74A0" w:rsidP="00AC74A0">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Ringer Lactate Infusion</w:t>
            </w:r>
          </w:p>
        </w:tc>
        <w:tc>
          <w:tcPr>
            <w:tcW w:w="1557" w:type="dxa"/>
            <w:shd w:val="clear" w:color="auto" w:fill="auto"/>
            <w:noWrap/>
            <w:vAlign w:val="center"/>
            <w:hideMark/>
          </w:tcPr>
          <w:p w14:paraId="5F2D799F" w14:textId="77777777" w:rsidR="00AC74A0" w:rsidRPr="005C446D" w:rsidRDefault="00AC74A0" w:rsidP="00AC74A0">
            <w:pPr>
              <w:jc w:val="center"/>
              <w:rPr>
                <w:rFonts w:ascii="Times New Roman" w:eastAsia="Times New Roman" w:hAnsi="Times New Roman" w:cs="Times New Roman"/>
                <w:color w:val="000000" w:themeColor="text1"/>
                <w:w w:val="90"/>
                <w:sz w:val="24"/>
                <w:szCs w:val="24"/>
              </w:rPr>
            </w:pPr>
            <w:proofErr w:type="spellStart"/>
            <w:r w:rsidRPr="005C446D">
              <w:rPr>
                <w:rFonts w:ascii="Times New Roman" w:hAnsi="Times New Roman" w:cs="Times New Roman"/>
                <w:color w:val="000000" w:themeColor="text1"/>
                <w:w w:val="90"/>
                <w:kern w:val="24"/>
                <w:sz w:val="24"/>
                <w:szCs w:val="24"/>
              </w:rPr>
              <w:t>Flb</w:t>
            </w:r>
            <w:proofErr w:type="spellEnd"/>
          </w:p>
        </w:tc>
        <w:tc>
          <w:tcPr>
            <w:tcW w:w="1417" w:type="dxa"/>
            <w:shd w:val="clear" w:color="auto" w:fill="auto"/>
            <w:noWrap/>
            <w:vAlign w:val="center"/>
            <w:hideMark/>
          </w:tcPr>
          <w:p w14:paraId="6E9FA931" w14:textId="77777777" w:rsidR="00AC74A0" w:rsidRPr="005C446D" w:rsidRDefault="00AC74A0" w:rsidP="00AC74A0">
            <w:pPr>
              <w:jc w:val="center"/>
              <w:rPr>
                <w:rFonts w:ascii="Times New Roman" w:eastAsia="Times New Roman" w:hAnsi="Times New Roman" w:cs="Times New Roman"/>
                <w:color w:val="000000" w:themeColor="text1"/>
                <w:w w:val="90"/>
                <w:sz w:val="24"/>
                <w:szCs w:val="24"/>
              </w:rPr>
            </w:pPr>
            <w:r w:rsidRPr="005C446D">
              <w:rPr>
                <w:rFonts w:ascii="Times New Roman" w:eastAsia="Times New Roman" w:hAnsi="Times New Roman" w:cs="Times New Roman"/>
                <w:color w:val="000000" w:themeColor="text1"/>
                <w:w w:val="90"/>
                <w:sz w:val="24"/>
                <w:szCs w:val="24"/>
              </w:rPr>
              <w:t>2</w:t>
            </w:r>
          </w:p>
        </w:tc>
        <w:tc>
          <w:tcPr>
            <w:tcW w:w="1701" w:type="dxa"/>
            <w:shd w:val="clear" w:color="auto" w:fill="auto"/>
            <w:noWrap/>
            <w:vAlign w:val="center"/>
          </w:tcPr>
          <w:p w14:paraId="7E2AB43C" w14:textId="77777777" w:rsidR="00AC74A0" w:rsidRPr="005C446D" w:rsidRDefault="00AC74A0" w:rsidP="00AC74A0">
            <w:pPr>
              <w:jc w:val="right"/>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16.446</w:t>
            </w:r>
          </w:p>
        </w:tc>
      </w:tr>
      <w:tr w:rsidR="005C446D" w:rsidRPr="005C446D" w14:paraId="0C06D875" w14:textId="77777777" w:rsidTr="004C4110">
        <w:trPr>
          <w:trHeight w:val="308"/>
        </w:trPr>
        <w:tc>
          <w:tcPr>
            <w:tcW w:w="4113" w:type="dxa"/>
            <w:shd w:val="clear" w:color="auto" w:fill="auto"/>
            <w:noWrap/>
            <w:vAlign w:val="center"/>
            <w:hideMark/>
          </w:tcPr>
          <w:p w14:paraId="15830A45" w14:textId="77777777" w:rsidR="00AC74A0" w:rsidRPr="005C446D" w:rsidRDefault="00AC74A0" w:rsidP="00AC74A0">
            <w:pP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sz w:val="24"/>
                <w:szCs w:val="24"/>
              </w:rPr>
              <w:t>cefotaxim</w:t>
            </w:r>
            <w:proofErr w:type="spellEnd"/>
            <w:r w:rsidRPr="005C446D">
              <w:rPr>
                <w:rFonts w:ascii="Times New Roman" w:hAnsi="Times New Roman" w:cs="Times New Roman"/>
                <w:color w:val="000000" w:themeColor="text1"/>
                <w:sz w:val="24"/>
                <w:szCs w:val="24"/>
              </w:rPr>
              <w:t xml:space="preserve"> injection</w:t>
            </w:r>
          </w:p>
        </w:tc>
        <w:tc>
          <w:tcPr>
            <w:tcW w:w="1557" w:type="dxa"/>
            <w:shd w:val="clear" w:color="auto" w:fill="auto"/>
            <w:noWrap/>
            <w:vAlign w:val="center"/>
            <w:hideMark/>
          </w:tcPr>
          <w:p w14:paraId="5F2DC08C" w14:textId="77777777" w:rsidR="00AC74A0" w:rsidRPr="005C446D" w:rsidRDefault="00AC74A0" w:rsidP="00AC74A0">
            <w:pPr>
              <w:jc w:val="center"/>
              <w:rPr>
                <w:rFonts w:ascii="Times New Roman" w:eastAsia="Times New Roman" w:hAnsi="Times New Roman" w:cs="Times New Roman"/>
                <w:color w:val="000000" w:themeColor="text1"/>
                <w:w w:val="90"/>
                <w:sz w:val="24"/>
                <w:szCs w:val="24"/>
                <w:lang w:val="id-ID"/>
              </w:rPr>
            </w:pPr>
            <w:proofErr w:type="spellStart"/>
            <w:r w:rsidRPr="005C446D">
              <w:rPr>
                <w:rFonts w:ascii="Times New Roman" w:hAnsi="Times New Roman" w:cs="Times New Roman"/>
                <w:color w:val="000000" w:themeColor="text1"/>
                <w:w w:val="90"/>
                <w:kern w:val="24"/>
                <w:sz w:val="24"/>
                <w:szCs w:val="24"/>
                <w:lang w:val="id-ID"/>
              </w:rPr>
              <w:t>ampoule</w:t>
            </w:r>
            <w:proofErr w:type="spellEnd"/>
          </w:p>
        </w:tc>
        <w:tc>
          <w:tcPr>
            <w:tcW w:w="1417" w:type="dxa"/>
            <w:shd w:val="clear" w:color="auto" w:fill="auto"/>
            <w:noWrap/>
            <w:vAlign w:val="center"/>
            <w:hideMark/>
          </w:tcPr>
          <w:p w14:paraId="79409FA2" w14:textId="77777777" w:rsidR="00AC74A0" w:rsidRPr="005C446D" w:rsidRDefault="00AC74A0" w:rsidP="00AC74A0">
            <w:pPr>
              <w:jc w:val="center"/>
              <w:rPr>
                <w:rFonts w:ascii="Times New Roman" w:eastAsia="Times New Roman" w:hAnsi="Times New Roman" w:cs="Times New Roman"/>
                <w:color w:val="000000" w:themeColor="text1"/>
                <w:w w:val="90"/>
                <w:sz w:val="24"/>
                <w:szCs w:val="24"/>
              </w:rPr>
            </w:pPr>
            <w:r w:rsidRPr="005C446D">
              <w:rPr>
                <w:rFonts w:ascii="Times New Roman" w:eastAsia="Times New Roman" w:hAnsi="Times New Roman" w:cs="Times New Roman"/>
                <w:color w:val="000000" w:themeColor="text1"/>
                <w:w w:val="90"/>
                <w:sz w:val="24"/>
                <w:szCs w:val="24"/>
              </w:rPr>
              <w:t>2</w:t>
            </w:r>
          </w:p>
        </w:tc>
        <w:tc>
          <w:tcPr>
            <w:tcW w:w="1701" w:type="dxa"/>
            <w:shd w:val="clear" w:color="auto" w:fill="auto"/>
            <w:noWrap/>
            <w:vAlign w:val="center"/>
          </w:tcPr>
          <w:p w14:paraId="3F3915D1" w14:textId="77777777" w:rsidR="00AC74A0" w:rsidRPr="005C446D" w:rsidRDefault="00AC74A0" w:rsidP="00AC74A0">
            <w:pPr>
              <w:jc w:val="right"/>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17.076</w:t>
            </w:r>
          </w:p>
        </w:tc>
      </w:tr>
      <w:tr w:rsidR="005C446D" w:rsidRPr="005C446D" w14:paraId="7BD6A5C0" w14:textId="77777777" w:rsidTr="004C4110">
        <w:trPr>
          <w:trHeight w:val="321"/>
        </w:trPr>
        <w:tc>
          <w:tcPr>
            <w:tcW w:w="4113" w:type="dxa"/>
            <w:shd w:val="clear" w:color="auto" w:fill="auto"/>
            <w:noWrap/>
            <w:vAlign w:val="center"/>
            <w:hideMark/>
          </w:tcPr>
          <w:p w14:paraId="7DAAB8B2" w14:textId="77777777" w:rsidR="00AC74A0" w:rsidRPr="005C446D" w:rsidRDefault="00AC74A0" w:rsidP="00AC74A0">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Injection of Ranitidine 50 mg</w:t>
            </w:r>
          </w:p>
        </w:tc>
        <w:tc>
          <w:tcPr>
            <w:tcW w:w="1557" w:type="dxa"/>
            <w:shd w:val="clear" w:color="auto" w:fill="auto"/>
            <w:noWrap/>
            <w:vAlign w:val="center"/>
            <w:hideMark/>
          </w:tcPr>
          <w:p w14:paraId="197C8DB6" w14:textId="77777777" w:rsidR="00AC74A0" w:rsidRPr="005C446D" w:rsidRDefault="00AC74A0" w:rsidP="00AC74A0">
            <w:pPr>
              <w:jc w:val="center"/>
              <w:rPr>
                <w:rFonts w:ascii="Times New Roman" w:eastAsia="Times New Roman" w:hAnsi="Times New Roman" w:cs="Times New Roman"/>
                <w:color w:val="000000" w:themeColor="text1"/>
                <w:w w:val="90"/>
                <w:sz w:val="24"/>
                <w:szCs w:val="24"/>
                <w:lang w:val="id-ID"/>
              </w:rPr>
            </w:pPr>
            <w:proofErr w:type="spellStart"/>
            <w:r w:rsidRPr="005C446D">
              <w:rPr>
                <w:rFonts w:ascii="Times New Roman" w:hAnsi="Times New Roman" w:cs="Times New Roman"/>
                <w:color w:val="000000" w:themeColor="text1"/>
                <w:w w:val="90"/>
                <w:kern w:val="24"/>
                <w:sz w:val="24"/>
                <w:szCs w:val="24"/>
                <w:lang w:val="id-ID"/>
              </w:rPr>
              <w:t>ampoule</w:t>
            </w:r>
            <w:proofErr w:type="spellEnd"/>
          </w:p>
        </w:tc>
        <w:tc>
          <w:tcPr>
            <w:tcW w:w="1417" w:type="dxa"/>
            <w:shd w:val="clear" w:color="auto" w:fill="auto"/>
            <w:noWrap/>
            <w:vAlign w:val="center"/>
            <w:hideMark/>
          </w:tcPr>
          <w:p w14:paraId="5A553B22" w14:textId="77777777" w:rsidR="00AC74A0" w:rsidRPr="005C446D" w:rsidRDefault="00AC74A0" w:rsidP="00AC74A0">
            <w:pPr>
              <w:jc w:val="center"/>
              <w:rPr>
                <w:rFonts w:ascii="Times New Roman" w:eastAsia="Times New Roman" w:hAnsi="Times New Roman" w:cs="Times New Roman"/>
                <w:color w:val="000000" w:themeColor="text1"/>
                <w:w w:val="90"/>
                <w:sz w:val="24"/>
                <w:szCs w:val="24"/>
              </w:rPr>
            </w:pPr>
            <w:r w:rsidRPr="005C446D">
              <w:rPr>
                <w:rFonts w:ascii="Times New Roman" w:eastAsia="Times New Roman" w:hAnsi="Times New Roman" w:cs="Times New Roman"/>
                <w:color w:val="000000" w:themeColor="text1"/>
                <w:w w:val="90"/>
                <w:sz w:val="24"/>
                <w:szCs w:val="24"/>
              </w:rPr>
              <w:t>2</w:t>
            </w:r>
          </w:p>
        </w:tc>
        <w:tc>
          <w:tcPr>
            <w:tcW w:w="1701" w:type="dxa"/>
            <w:shd w:val="clear" w:color="auto" w:fill="auto"/>
            <w:noWrap/>
            <w:vAlign w:val="center"/>
          </w:tcPr>
          <w:p w14:paraId="12CA7427" w14:textId="77777777" w:rsidR="00AC74A0" w:rsidRPr="005C446D" w:rsidRDefault="00AC74A0" w:rsidP="00AC74A0">
            <w:pPr>
              <w:jc w:val="right"/>
              <w:rPr>
                <w:rFonts w:ascii="Times New Roman" w:eastAsia="Times New Roman" w:hAnsi="Times New Roman" w:cs="Times New Roman"/>
                <w:color w:val="000000" w:themeColor="text1"/>
                <w:w w:val="90"/>
                <w:sz w:val="24"/>
                <w:szCs w:val="24"/>
                <w:lang w:val="id-ID"/>
              </w:rPr>
            </w:pPr>
            <w:r w:rsidRPr="005C446D">
              <w:rPr>
                <w:rFonts w:ascii="Times New Roman" w:eastAsia="Times New Roman" w:hAnsi="Times New Roman" w:cs="Times New Roman"/>
                <w:color w:val="000000" w:themeColor="text1"/>
                <w:w w:val="90"/>
                <w:sz w:val="24"/>
                <w:szCs w:val="24"/>
                <w:lang w:val="id-ID"/>
              </w:rPr>
              <w:t>37.950</w:t>
            </w:r>
          </w:p>
        </w:tc>
      </w:tr>
      <w:tr w:rsidR="005C446D" w:rsidRPr="005C446D" w14:paraId="13672747" w14:textId="77777777" w:rsidTr="004C4110">
        <w:trPr>
          <w:trHeight w:val="308"/>
        </w:trPr>
        <w:tc>
          <w:tcPr>
            <w:tcW w:w="4113" w:type="dxa"/>
            <w:shd w:val="clear" w:color="auto" w:fill="auto"/>
            <w:noWrap/>
            <w:vAlign w:val="center"/>
            <w:hideMark/>
          </w:tcPr>
          <w:p w14:paraId="74A1AFAE" w14:textId="77777777" w:rsidR="00AC74A0" w:rsidRPr="005C446D" w:rsidRDefault="00AC74A0" w:rsidP="00AC74A0">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 xml:space="preserve">sterile </w:t>
            </w:r>
            <w:proofErr w:type="spellStart"/>
            <w:r w:rsidRPr="005C446D">
              <w:rPr>
                <w:rFonts w:ascii="Times New Roman" w:hAnsi="Times New Roman" w:cs="Times New Roman"/>
                <w:color w:val="000000" w:themeColor="text1"/>
                <w:sz w:val="24"/>
                <w:szCs w:val="24"/>
              </w:rPr>
              <w:t>handscoon</w:t>
            </w:r>
            <w:proofErr w:type="spellEnd"/>
            <w:r w:rsidRPr="005C446D">
              <w:rPr>
                <w:rFonts w:ascii="Times New Roman" w:hAnsi="Times New Roman" w:cs="Times New Roman"/>
                <w:color w:val="000000" w:themeColor="text1"/>
                <w:sz w:val="24"/>
                <w:szCs w:val="24"/>
              </w:rPr>
              <w:t xml:space="preserve"> no 7</w:t>
            </w:r>
          </w:p>
        </w:tc>
        <w:tc>
          <w:tcPr>
            <w:tcW w:w="1557" w:type="dxa"/>
            <w:shd w:val="clear" w:color="auto" w:fill="auto"/>
            <w:noWrap/>
            <w:vAlign w:val="center"/>
            <w:hideMark/>
          </w:tcPr>
          <w:p w14:paraId="79DDAD01"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17" w:type="dxa"/>
            <w:shd w:val="clear" w:color="auto" w:fill="auto"/>
            <w:noWrap/>
            <w:vAlign w:val="center"/>
            <w:hideMark/>
          </w:tcPr>
          <w:p w14:paraId="4842F6E0"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701" w:type="dxa"/>
            <w:shd w:val="clear" w:color="auto" w:fill="auto"/>
            <w:noWrap/>
            <w:vAlign w:val="center"/>
          </w:tcPr>
          <w:p w14:paraId="4C05BE6D"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7.590</w:t>
            </w:r>
          </w:p>
        </w:tc>
      </w:tr>
      <w:tr w:rsidR="005C446D" w:rsidRPr="005C446D" w14:paraId="6DC7485F" w14:textId="77777777" w:rsidTr="004C4110">
        <w:trPr>
          <w:trHeight w:val="307"/>
        </w:trPr>
        <w:tc>
          <w:tcPr>
            <w:tcW w:w="4113" w:type="dxa"/>
            <w:shd w:val="clear" w:color="auto" w:fill="auto"/>
            <w:noWrap/>
            <w:vAlign w:val="center"/>
            <w:hideMark/>
          </w:tcPr>
          <w:p w14:paraId="775A93CD" w14:textId="77777777" w:rsidR="00AC74A0" w:rsidRPr="005C446D" w:rsidRDefault="00AC74A0" w:rsidP="00AC74A0">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6x9 folding gauze</w:t>
            </w:r>
          </w:p>
        </w:tc>
        <w:tc>
          <w:tcPr>
            <w:tcW w:w="1557" w:type="dxa"/>
            <w:shd w:val="clear" w:color="auto" w:fill="auto"/>
            <w:noWrap/>
            <w:vAlign w:val="center"/>
            <w:hideMark/>
          </w:tcPr>
          <w:p w14:paraId="68E50479"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sheet</w:t>
            </w:r>
          </w:p>
        </w:tc>
        <w:tc>
          <w:tcPr>
            <w:tcW w:w="1417" w:type="dxa"/>
            <w:shd w:val="clear" w:color="auto" w:fill="auto"/>
            <w:noWrap/>
            <w:vAlign w:val="center"/>
            <w:hideMark/>
          </w:tcPr>
          <w:p w14:paraId="34E99077"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2</w:t>
            </w:r>
          </w:p>
        </w:tc>
        <w:tc>
          <w:tcPr>
            <w:tcW w:w="1701" w:type="dxa"/>
            <w:shd w:val="clear" w:color="auto" w:fill="auto"/>
            <w:noWrap/>
            <w:vAlign w:val="center"/>
          </w:tcPr>
          <w:p w14:paraId="7F57FE64"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1.100</w:t>
            </w:r>
          </w:p>
        </w:tc>
      </w:tr>
      <w:tr w:rsidR="005C446D" w:rsidRPr="005C446D" w14:paraId="2D35F730" w14:textId="77777777" w:rsidTr="004C4110">
        <w:trPr>
          <w:trHeight w:val="308"/>
        </w:trPr>
        <w:tc>
          <w:tcPr>
            <w:tcW w:w="4113" w:type="dxa"/>
            <w:shd w:val="clear" w:color="auto" w:fill="auto"/>
            <w:noWrap/>
            <w:vAlign w:val="center"/>
            <w:hideMark/>
          </w:tcPr>
          <w:p w14:paraId="11306312" w14:textId="77777777" w:rsidR="00AC74A0" w:rsidRPr="005C446D" w:rsidRDefault="00AC74A0" w:rsidP="00AC74A0">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Alcohol swab</w:t>
            </w:r>
          </w:p>
        </w:tc>
        <w:tc>
          <w:tcPr>
            <w:tcW w:w="1557" w:type="dxa"/>
            <w:shd w:val="clear" w:color="auto" w:fill="auto"/>
            <w:noWrap/>
            <w:vAlign w:val="center"/>
            <w:hideMark/>
          </w:tcPr>
          <w:p w14:paraId="08555513"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17" w:type="dxa"/>
            <w:shd w:val="clear" w:color="auto" w:fill="auto"/>
            <w:noWrap/>
            <w:vAlign w:val="center"/>
            <w:hideMark/>
          </w:tcPr>
          <w:p w14:paraId="4CAD81D5"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2</w:t>
            </w:r>
          </w:p>
        </w:tc>
        <w:tc>
          <w:tcPr>
            <w:tcW w:w="1701" w:type="dxa"/>
            <w:shd w:val="clear" w:color="auto" w:fill="auto"/>
            <w:noWrap/>
            <w:vAlign w:val="center"/>
          </w:tcPr>
          <w:p w14:paraId="375AB09B"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254</w:t>
            </w:r>
          </w:p>
        </w:tc>
      </w:tr>
      <w:tr w:rsidR="005C446D" w:rsidRPr="005C446D" w14:paraId="6E227D5E" w14:textId="77777777" w:rsidTr="004C4110">
        <w:trPr>
          <w:trHeight w:val="335"/>
        </w:trPr>
        <w:tc>
          <w:tcPr>
            <w:tcW w:w="4113" w:type="dxa"/>
            <w:shd w:val="clear" w:color="auto" w:fill="auto"/>
            <w:noWrap/>
            <w:vAlign w:val="center"/>
            <w:hideMark/>
          </w:tcPr>
          <w:p w14:paraId="0A58ADDA" w14:textId="77777777" w:rsidR="00AC74A0" w:rsidRPr="005C446D" w:rsidRDefault="00AC74A0" w:rsidP="00AC74A0">
            <w:pP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sz w:val="24"/>
                <w:szCs w:val="24"/>
              </w:rPr>
              <w:lastRenderedPageBreak/>
              <w:t>Spuit</w:t>
            </w:r>
            <w:proofErr w:type="spellEnd"/>
            <w:r w:rsidRPr="005C446D">
              <w:rPr>
                <w:rFonts w:ascii="Times New Roman" w:hAnsi="Times New Roman" w:cs="Times New Roman"/>
                <w:color w:val="000000" w:themeColor="text1"/>
                <w:sz w:val="24"/>
                <w:szCs w:val="24"/>
              </w:rPr>
              <w:t xml:space="preserve"> 5 cc</w:t>
            </w:r>
          </w:p>
        </w:tc>
        <w:tc>
          <w:tcPr>
            <w:tcW w:w="1557" w:type="dxa"/>
            <w:shd w:val="clear" w:color="auto" w:fill="auto"/>
            <w:noWrap/>
            <w:vAlign w:val="center"/>
            <w:hideMark/>
          </w:tcPr>
          <w:p w14:paraId="07124DA1"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Pcs</w:t>
            </w:r>
          </w:p>
        </w:tc>
        <w:tc>
          <w:tcPr>
            <w:tcW w:w="1417" w:type="dxa"/>
            <w:shd w:val="clear" w:color="auto" w:fill="auto"/>
            <w:noWrap/>
            <w:vAlign w:val="center"/>
            <w:hideMark/>
          </w:tcPr>
          <w:p w14:paraId="6438CD43"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w:t>
            </w:r>
          </w:p>
        </w:tc>
        <w:tc>
          <w:tcPr>
            <w:tcW w:w="1701" w:type="dxa"/>
            <w:shd w:val="clear" w:color="auto" w:fill="auto"/>
            <w:noWrap/>
            <w:vAlign w:val="center"/>
          </w:tcPr>
          <w:p w14:paraId="722770E2"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1.125</w:t>
            </w:r>
          </w:p>
        </w:tc>
      </w:tr>
      <w:tr w:rsidR="005C446D" w:rsidRPr="005C446D" w14:paraId="5A851201" w14:textId="77777777" w:rsidTr="004C4110">
        <w:trPr>
          <w:trHeight w:val="308"/>
        </w:trPr>
        <w:tc>
          <w:tcPr>
            <w:tcW w:w="4113" w:type="dxa"/>
            <w:shd w:val="clear" w:color="auto" w:fill="auto"/>
            <w:noWrap/>
            <w:vAlign w:val="center"/>
            <w:hideMark/>
          </w:tcPr>
          <w:p w14:paraId="3C307550" w14:textId="77777777" w:rsidR="00AC74A0" w:rsidRPr="005C446D" w:rsidRDefault="00AC74A0" w:rsidP="00AC74A0">
            <w:pP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Amoxicillin</w:t>
            </w:r>
          </w:p>
        </w:tc>
        <w:tc>
          <w:tcPr>
            <w:tcW w:w="1557" w:type="dxa"/>
            <w:shd w:val="clear" w:color="auto" w:fill="auto"/>
            <w:noWrap/>
            <w:vAlign w:val="center"/>
            <w:hideMark/>
          </w:tcPr>
          <w:p w14:paraId="2A1142C6"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Tab</w:t>
            </w:r>
          </w:p>
        </w:tc>
        <w:tc>
          <w:tcPr>
            <w:tcW w:w="1417" w:type="dxa"/>
            <w:shd w:val="clear" w:color="auto" w:fill="auto"/>
            <w:noWrap/>
            <w:vAlign w:val="center"/>
            <w:hideMark/>
          </w:tcPr>
          <w:p w14:paraId="733B6F0F"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15</w:t>
            </w:r>
          </w:p>
        </w:tc>
        <w:tc>
          <w:tcPr>
            <w:tcW w:w="1701" w:type="dxa"/>
            <w:shd w:val="clear" w:color="auto" w:fill="auto"/>
            <w:noWrap/>
            <w:vAlign w:val="center"/>
          </w:tcPr>
          <w:p w14:paraId="4A207714"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3.480</w:t>
            </w:r>
          </w:p>
        </w:tc>
      </w:tr>
      <w:tr w:rsidR="005C446D" w:rsidRPr="005C446D" w14:paraId="7F7E149E" w14:textId="77777777" w:rsidTr="004C4110">
        <w:trPr>
          <w:trHeight w:val="307"/>
        </w:trPr>
        <w:tc>
          <w:tcPr>
            <w:tcW w:w="4113" w:type="dxa"/>
            <w:shd w:val="clear" w:color="auto" w:fill="auto"/>
            <w:noWrap/>
            <w:vAlign w:val="center"/>
            <w:hideMark/>
          </w:tcPr>
          <w:p w14:paraId="3E10A51A" w14:textId="77777777" w:rsidR="00AC74A0" w:rsidRPr="005C446D" w:rsidRDefault="00AC74A0" w:rsidP="00AC74A0">
            <w:pPr>
              <w:rPr>
                <w:rFonts w:ascii="Times New Roman" w:eastAsia="Times New Roman" w:hAnsi="Times New Roman" w:cs="Times New Roman"/>
                <w:color w:val="000000" w:themeColor="text1"/>
                <w:sz w:val="24"/>
                <w:szCs w:val="24"/>
              </w:rPr>
            </w:pPr>
            <w:proofErr w:type="spellStart"/>
            <w:r w:rsidRPr="005C446D">
              <w:rPr>
                <w:rFonts w:ascii="Times New Roman" w:hAnsi="Times New Roman" w:cs="Times New Roman"/>
                <w:color w:val="000000" w:themeColor="text1"/>
                <w:sz w:val="24"/>
                <w:szCs w:val="24"/>
              </w:rPr>
              <w:t>Mefenamic</w:t>
            </w:r>
            <w:proofErr w:type="spellEnd"/>
            <w:r w:rsidRPr="005C446D">
              <w:rPr>
                <w:rFonts w:ascii="Times New Roman" w:hAnsi="Times New Roman" w:cs="Times New Roman"/>
                <w:color w:val="000000" w:themeColor="text1"/>
                <w:sz w:val="24"/>
                <w:szCs w:val="24"/>
              </w:rPr>
              <w:t xml:space="preserve"> acid 500 mg</w:t>
            </w:r>
          </w:p>
        </w:tc>
        <w:tc>
          <w:tcPr>
            <w:tcW w:w="1557" w:type="dxa"/>
            <w:shd w:val="clear" w:color="auto" w:fill="auto"/>
            <w:noWrap/>
            <w:vAlign w:val="center"/>
            <w:hideMark/>
          </w:tcPr>
          <w:p w14:paraId="1F9AB023"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hAnsi="Times New Roman" w:cs="Times New Roman"/>
                <w:color w:val="000000" w:themeColor="text1"/>
                <w:kern w:val="24"/>
                <w:sz w:val="24"/>
                <w:szCs w:val="24"/>
              </w:rPr>
              <w:t>Tab</w:t>
            </w:r>
          </w:p>
        </w:tc>
        <w:tc>
          <w:tcPr>
            <w:tcW w:w="1417" w:type="dxa"/>
            <w:shd w:val="clear" w:color="auto" w:fill="auto"/>
            <w:noWrap/>
            <w:vAlign w:val="center"/>
            <w:hideMark/>
          </w:tcPr>
          <w:p w14:paraId="0C63F274" w14:textId="77777777" w:rsidR="00AC74A0" w:rsidRPr="005C446D" w:rsidRDefault="00AC74A0" w:rsidP="00AC74A0">
            <w:pPr>
              <w:jc w:val="center"/>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color w:val="000000" w:themeColor="text1"/>
                <w:sz w:val="24"/>
                <w:szCs w:val="24"/>
              </w:rPr>
              <w:t>10</w:t>
            </w:r>
          </w:p>
        </w:tc>
        <w:tc>
          <w:tcPr>
            <w:tcW w:w="1701" w:type="dxa"/>
            <w:shd w:val="clear" w:color="auto" w:fill="auto"/>
            <w:noWrap/>
            <w:vAlign w:val="center"/>
          </w:tcPr>
          <w:p w14:paraId="71590768" w14:textId="77777777" w:rsidR="00AC74A0" w:rsidRPr="005C446D" w:rsidRDefault="00AC74A0" w:rsidP="00AC74A0">
            <w:pPr>
              <w:jc w:val="right"/>
              <w:rPr>
                <w:rFonts w:ascii="Times New Roman" w:eastAsia="Times New Roman" w:hAnsi="Times New Roman" w:cs="Times New Roman"/>
                <w:color w:val="000000" w:themeColor="text1"/>
                <w:sz w:val="24"/>
                <w:szCs w:val="24"/>
                <w:lang w:val="id-ID"/>
              </w:rPr>
            </w:pPr>
            <w:r w:rsidRPr="005C446D">
              <w:rPr>
                <w:rFonts w:ascii="Times New Roman" w:eastAsia="Times New Roman" w:hAnsi="Times New Roman" w:cs="Times New Roman"/>
                <w:color w:val="000000" w:themeColor="text1"/>
                <w:sz w:val="24"/>
                <w:szCs w:val="24"/>
                <w:lang w:val="id-ID"/>
              </w:rPr>
              <w:t>1.730</w:t>
            </w:r>
          </w:p>
        </w:tc>
      </w:tr>
      <w:tr w:rsidR="00AC74A0" w:rsidRPr="005C446D" w14:paraId="197CC2B8" w14:textId="77777777" w:rsidTr="004C4110">
        <w:trPr>
          <w:trHeight w:val="378"/>
        </w:trPr>
        <w:tc>
          <w:tcPr>
            <w:tcW w:w="5670" w:type="dxa"/>
            <w:gridSpan w:val="2"/>
            <w:shd w:val="clear" w:color="auto" w:fill="auto"/>
            <w:noWrap/>
            <w:hideMark/>
          </w:tcPr>
          <w:p w14:paraId="22E9EAB6" w14:textId="77777777" w:rsidR="00AC74A0" w:rsidRPr="005C446D" w:rsidRDefault="00AC74A0" w:rsidP="00AC74A0">
            <w:pPr>
              <w:jc w:val="center"/>
              <w:rPr>
                <w:rFonts w:ascii="Times New Roman" w:eastAsia="Times New Roman" w:hAnsi="Times New Roman" w:cs="Times New Roman"/>
                <w:b/>
                <w:color w:val="000000" w:themeColor="text1"/>
                <w:sz w:val="24"/>
                <w:szCs w:val="24"/>
              </w:rPr>
            </w:pPr>
            <w:r w:rsidRPr="005C446D">
              <w:rPr>
                <w:rFonts w:ascii="Times New Roman" w:eastAsia="Times New Roman" w:hAnsi="Times New Roman" w:cs="Times New Roman"/>
                <w:b/>
                <w:color w:val="000000" w:themeColor="text1"/>
                <w:sz w:val="24"/>
                <w:szCs w:val="24"/>
              </w:rPr>
              <w:t>Total Direct Cost</w:t>
            </w:r>
            <w:r w:rsidRPr="005C446D">
              <w:rPr>
                <w:rFonts w:ascii="Times New Roman" w:eastAsia="Times New Roman" w:hAnsi="Times New Roman" w:cs="Times New Roman"/>
                <w:color w:val="000000" w:themeColor="text1"/>
                <w:sz w:val="24"/>
                <w:szCs w:val="24"/>
              </w:rPr>
              <w:t> </w:t>
            </w:r>
          </w:p>
        </w:tc>
        <w:tc>
          <w:tcPr>
            <w:tcW w:w="3118" w:type="dxa"/>
            <w:gridSpan w:val="2"/>
            <w:shd w:val="clear" w:color="auto" w:fill="auto"/>
            <w:noWrap/>
            <w:vAlign w:val="center"/>
            <w:hideMark/>
          </w:tcPr>
          <w:p w14:paraId="02DDFE98" w14:textId="77777777" w:rsidR="00AC74A0" w:rsidRPr="005C446D" w:rsidRDefault="00AC74A0" w:rsidP="00AC74A0">
            <w:pPr>
              <w:jc w:val="right"/>
              <w:rPr>
                <w:rFonts w:ascii="Times New Roman" w:eastAsia="Times New Roman" w:hAnsi="Times New Roman" w:cs="Times New Roman"/>
                <w:color w:val="000000" w:themeColor="text1"/>
                <w:sz w:val="24"/>
                <w:szCs w:val="24"/>
              </w:rPr>
            </w:pPr>
            <w:r w:rsidRPr="005C446D">
              <w:rPr>
                <w:rFonts w:ascii="Times New Roman" w:eastAsia="Times New Roman" w:hAnsi="Times New Roman" w:cs="Times New Roman"/>
                <w:b/>
                <w:bCs/>
                <w:color w:val="000000" w:themeColor="text1"/>
                <w:sz w:val="24"/>
                <w:szCs w:val="24"/>
              </w:rPr>
              <w:t>248.751</w:t>
            </w:r>
            <w:r w:rsidRPr="005C446D">
              <w:rPr>
                <w:rFonts w:ascii="Times New Roman" w:eastAsia="Times New Roman" w:hAnsi="Times New Roman" w:cs="Times New Roman"/>
                <w:color w:val="000000" w:themeColor="text1"/>
                <w:sz w:val="24"/>
                <w:szCs w:val="24"/>
              </w:rPr>
              <w:t> </w:t>
            </w:r>
          </w:p>
        </w:tc>
      </w:tr>
    </w:tbl>
    <w:p w14:paraId="29C51DE2" w14:textId="77777777" w:rsidR="00AC74A0" w:rsidRPr="005C446D" w:rsidRDefault="00AC74A0" w:rsidP="005C14D1">
      <w:pPr>
        <w:jc w:val="both"/>
        <w:rPr>
          <w:rFonts w:ascii="Times New Roman" w:hAnsi="Times New Roman"/>
          <w:b/>
          <w:color w:val="000000" w:themeColor="text1"/>
          <w:sz w:val="24"/>
          <w:szCs w:val="24"/>
          <w:lang w:val="id-ID"/>
        </w:rPr>
      </w:pPr>
    </w:p>
    <w:p w14:paraId="6B3A4D80" w14:textId="36BC24EE" w:rsidR="00AC74A0" w:rsidRPr="005C446D" w:rsidRDefault="00AC74A0" w:rsidP="00F11A54">
      <w:pPr>
        <w:pStyle w:val="ListParagraph"/>
        <w:numPr>
          <w:ilvl w:val="0"/>
          <w:numId w:val="2"/>
        </w:numPr>
        <w:spacing w:after="0" w:line="240" w:lineRule="auto"/>
        <w:jc w:val="both"/>
        <w:rPr>
          <w:rFonts w:ascii="Times New Roman" w:hAnsi="Times New Roman"/>
          <w:b/>
          <w:color w:val="000000" w:themeColor="text1"/>
          <w:sz w:val="24"/>
          <w:szCs w:val="24"/>
          <w:lang w:val="id-ID"/>
        </w:rPr>
      </w:pPr>
      <w:r w:rsidRPr="005C446D">
        <w:rPr>
          <w:rFonts w:ascii="Times New Roman" w:hAnsi="Times New Roman"/>
          <w:b/>
          <w:color w:val="000000" w:themeColor="text1"/>
          <w:sz w:val="24"/>
          <w:szCs w:val="24"/>
        </w:rPr>
        <w:t>Determine</w:t>
      </w:r>
      <w:r w:rsidRPr="005C446D">
        <w:rPr>
          <w:rFonts w:ascii="Times New Roman" w:hAnsi="Times New Roman"/>
          <w:b/>
          <w:bCs/>
          <w:color w:val="000000" w:themeColor="text1"/>
          <w:sz w:val="24"/>
          <w:szCs w:val="24"/>
        </w:rPr>
        <w:t xml:space="preserve"> the indirect resource overhead cost</w:t>
      </w:r>
    </w:p>
    <w:tbl>
      <w:tblPr>
        <w:tblW w:w="8788" w:type="dxa"/>
        <w:tblInd w:w="279" w:type="dxa"/>
        <w:tblLayout w:type="fixed"/>
        <w:tblCellMar>
          <w:left w:w="0" w:type="dxa"/>
          <w:right w:w="0" w:type="dxa"/>
        </w:tblCellMar>
        <w:tblLook w:val="04A0" w:firstRow="1" w:lastRow="0" w:firstColumn="1" w:lastColumn="0" w:noHBand="0" w:noVBand="1"/>
      </w:tblPr>
      <w:tblGrid>
        <w:gridCol w:w="6379"/>
        <w:gridCol w:w="2409"/>
      </w:tblGrid>
      <w:tr w:rsidR="005C446D" w:rsidRPr="005C446D" w14:paraId="6127CD57" w14:textId="77777777" w:rsidTr="004C4110">
        <w:trPr>
          <w:trHeight w:val="419"/>
          <w:tblHeader/>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41EA64E4" w14:textId="77777777" w:rsidR="00AC74A0" w:rsidRPr="005C446D" w:rsidRDefault="00AC74A0" w:rsidP="00AC74A0">
            <w:pPr>
              <w:jc w:val="center"/>
              <w:rPr>
                <w:rFonts w:ascii="Times New Roman" w:hAnsi="Times New Roman" w:cs="Times New Roman"/>
                <w:b/>
                <w:bCs/>
                <w:color w:val="000000" w:themeColor="text1"/>
                <w:sz w:val="24"/>
                <w:szCs w:val="24"/>
              </w:rPr>
            </w:pPr>
            <w:proofErr w:type="spellStart"/>
            <w:r w:rsidRPr="005C446D">
              <w:rPr>
                <w:rFonts w:ascii="Times New Roman" w:hAnsi="Times New Roman" w:cs="Times New Roman"/>
                <w:b/>
                <w:bCs/>
                <w:color w:val="000000" w:themeColor="text1"/>
                <w:sz w:val="24"/>
                <w:szCs w:val="24"/>
              </w:rPr>
              <w:t>Jenis</w:t>
            </w:r>
            <w:proofErr w:type="spellEnd"/>
            <w:r w:rsidRPr="005C446D">
              <w:rPr>
                <w:rFonts w:ascii="Times New Roman" w:hAnsi="Times New Roman" w:cs="Times New Roman"/>
                <w:b/>
                <w:bCs/>
                <w:color w:val="000000" w:themeColor="text1"/>
                <w:sz w:val="24"/>
                <w:szCs w:val="24"/>
              </w:rPr>
              <w:t xml:space="preserve"> </w:t>
            </w:r>
            <w:proofErr w:type="spellStart"/>
            <w:r w:rsidRPr="005C446D">
              <w:rPr>
                <w:rFonts w:ascii="Times New Roman" w:hAnsi="Times New Roman" w:cs="Times New Roman"/>
                <w:b/>
                <w:bCs/>
                <w:color w:val="000000" w:themeColor="text1"/>
                <w:sz w:val="24"/>
                <w:szCs w:val="24"/>
              </w:rPr>
              <w:t>Biaya</w:t>
            </w:r>
            <w:proofErr w:type="spellEnd"/>
          </w:p>
        </w:tc>
        <w:tc>
          <w:tcPr>
            <w:tcW w:w="2409" w:type="dxa"/>
            <w:tcBorders>
              <w:top w:val="single" w:sz="4" w:space="0" w:color="auto"/>
              <w:left w:val="nil"/>
              <w:bottom w:val="single" w:sz="4" w:space="0" w:color="auto"/>
              <w:right w:val="single" w:sz="4" w:space="0" w:color="auto"/>
            </w:tcBorders>
            <w:noWrap/>
            <w:vAlign w:val="center"/>
            <w:hideMark/>
          </w:tcPr>
          <w:p w14:paraId="582D6926" w14:textId="77777777" w:rsidR="00AC74A0" w:rsidRPr="005C446D" w:rsidRDefault="00AC74A0" w:rsidP="00AC74A0">
            <w:pPr>
              <w:jc w:val="center"/>
              <w:rPr>
                <w:rFonts w:ascii="Times New Roman" w:hAnsi="Times New Roman" w:cs="Times New Roman"/>
                <w:b/>
                <w:bCs/>
                <w:color w:val="000000" w:themeColor="text1"/>
                <w:sz w:val="24"/>
                <w:szCs w:val="24"/>
              </w:rPr>
            </w:pPr>
            <w:r w:rsidRPr="005C446D">
              <w:rPr>
                <w:rFonts w:ascii="Times New Roman" w:hAnsi="Times New Roman" w:cs="Times New Roman"/>
                <w:b/>
                <w:bCs/>
                <w:color w:val="000000" w:themeColor="text1"/>
                <w:sz w:val="24"/>
                <w:szCs w:val="24"/>
              </w:rPr>
              <w:t>Cost (</w:t>
            </w:r>
            <w:proofErr w:type="spellStart"/>
            <w:r w:rsidRPr="005C446D">
              <w:rPr>
                <w:rFonts w:ascii="Times New Roman" w:hAnsi="Times New Roman" w:cs="Times New Roman"/>
                <w:b/>
                <w:bCs/>
                <w:color w:val="000000" w:themeColor="text1"/>
                <w:sz w:val="24"/>
                <w:szCs w:val="24"/>
              </w:rPr>
              <w:t>Rp</w:t>
            </w:r>
            <w:proofErr w:type="spellEnd"/>
            <w:r w:rsidRPr="005C446D">
              <w:rPr>
                <w:rFonts w:ascii="Times New Roman" w:hAnsi="Times New Roman" w:cs="Times New Roman"/>
                <w:b/>
                <w:bCs/>
                <w:color w:val="000000" w:themeColor="text1"/>
                <w:sz w:val="24"/>
                <w:szCs w:val="24"/>
              </w:rPr>
              <w:t>)</w:t>
            </w:r>
          </w:p>
        </w:tc>
      </w:tr>
      <w:tr w:rsidR="005C446D" w:rsidRPr="005C446D" w14:paraId="011F947D" w14:textId="77777777" w:rsidTr="004C4110">
        <w:trPr>
          <w:trHeight w:val="350"/>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4EFD6A15" w14:textId="77777777" w:rsidR="00AC74A0" w:rsidRPr="005C446D" w:rsidRDefault="00AC74A0" w:rsidP="00A45ABF">
            <w:pPr>
              <w:ind w:left="135"/>
              <w:rPr>
                <w:rFonts w:ascii="Times New Roman" w:hAnsi="Times New Roman" w:cs="Times New Roman"/>
                <w:b/>
                <w:bCs/>
                <w:color w:val="000000" w:themeColor="text1"/>
                <w:sz w:val="24"/>
                <w:szCs w:val="24"/>
              </w:rPr>
            </w:pPr>
            <w:proofErr w:type="spellStart"/>
            <w:r w:rsidRPr="005C446D">
              <w:rPr>
                <w:rFonts w:ascii="Times New Roman" w:hAnsi="Times New Roman" w:cs="Times New Roman"/>
                <w:b/>
                <w:bCs/>
                <w:color w:val="000000" w:themeColor="text1"/>
                <w:sz w:val="24"/>
                <w:szCs w:val="24"/>
              </w:rPr>
              <w:t>Labour</w:t>
            </w:r>
            <w:proofErr w:type="spellEnd"/>
            <w:r w:rsidRPr="005C446D">
              <w:rPr>
                <w:rFonts w:ascii="Times New Roman" w:hAnsi="Times New Roman" w:cs="Times New Roman"/>
                <w:b/>
                <w:bCs/>
                <w:color w:val="000000" w:themeColor="text1"/>
                <w:sz w:val="24"/>
                <w:szCs w:val="24"/>
              </w:rPr>
              <w:t xml:space="preserve"> Related</w:t>
            </w:r>
          </w:p>
        </w:tc>
        <w:tc>
          <w:tcPr>
            <w:tcW w:w="2409" w:type="dxa"/>
            <w:tcBorders>
              <w:top w:val="nil"/>
              <w:left w:val="nil"/>
              <w:bottom w:val="single" w:sz="4" w:space="0" w:color="auto"/>
              <w:right w:val="single" w:sz="4" w:space="0" w:color="auto"/>
            </w:tcBorders>
            <w:noWrap/>
            <w:vAlign w:val="center"/>
            <w:hideMark/>
          </w:tcPr>
          <w:p w14:paraId="6ADB7B8C" w14:textId="77777777" w:rsidR="00AC74A0" w:rsidRPr="005C446D" w:rsidRDefault="00AC74A0" w:rsidP="00AC74A0">
            <w:pPr>
              <w:jc w:val="right"/>
              <w:rPr>
                <w:rFonts w:ascii="Times New Roman" w:hAnsi="Times New Roman" w:cs="Times New Roman"/>
                <w:bCs/>
                <w:color w:val="000000" w:themeColor="text1"/>
                <w:sz w:val="24"/>
                <w:szCs w:val="24"/>
              </w:rPr>
            </w:pPr>
          </w:p>
        </w:tc>
      </w:tr>
      <w:tr w:rsidR="005C446D" w:rsidRPr="005C446D" w14:paraId="3C4448E9" w14:textId="77777777" w:rsidTr="004C4110">
        <w:trPr>
          <w:trHeight w:val="335"/>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33901ECE" w14:textId="77777777" w:rsidR="00AC74A0" w:rsidRPr="005C446D" w:rsidRDefault="00AC74A0" w:rsidP="00A45ABF">
            <w:pPr>
              <w:ind w:left="135"/>
              <w:rPr>
                <w:rFonts w:ascii="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Staff</w:t>
            </w:r>
          </w:p>
        </w:tc>
        <w:tc>
          <w:tcPr>
            <w:tcW w:w="2409" w:type="dxa"/>
            <w:tcBorders>
              <w:top w:val="nil"/>
              <w:left w:val="nil"/>
              <w:bottom w:val="single" w:sz="4" w:space="0" w:color="auto"/>
              <w:right w:val="single" w:sz="4" w:space="0" w:color="auto"/>
            </w:tcBorders>
            <w:noWrap/>
            <w:vAlign w:val="center"/>
          </w:tcPr>
          <w:p w14:paraId="3AFAA2CC" w14:textId="77777777" w:rsidR="00AC74A0" w:rsidRPr="005C446D" w:rsidRDefault="00AC74A0" w:rsidP="00A45ABF">
            <w:pPr>
              <w:ind w:right="139"/>
              <w:jc w:val="right"/>
              <w:rPr>
                <w:rFonts w:ascii="Times New Roman" w:hAnsi="Times New Roman" w:cs="Times New Roman"/>
                <w:color w:val="000000" w:themeColor="text1"/>
                <w:sz w:val="24"/>
                <w:szCs w:val="24"/>
              </w:rPr>
            </w:pPr>
            <w:r w:rsidRPr="005C446D">
              <w:rPr>
                <w:rFonts w:ascii="Times New Roman" w:hAnsi="Times New Roman" w:cs="Times New Roman"/>
                <w:bCs/>
                <w:color w:val="000000" w:themeColor="text1"/>
                <w:sz w:val="24"/>
                <w:szCs w:val="24"/>
                <w:lang w:val="id-ID"/>
              </w:rPr>
              <w:t>25.709.053.905</w:t>
            </w:r>
            <w:r w:rsidRPr="005C446D">
              <w:rPr>
                <w:rFonts w:ascii="Times New Roman" w:hAnsi="Times New Roman" w:cs="Times New Roman"/>
                <w:bCs/>
                <w:color w:val="000000" w:themeColor="text1"/>
                <w:sz w:val="24"/>
                <w:szCs w:val="24"/>
              </w:rPr>
              <w:t> </w:t>
            </w:r>
          </w:p>
        </w:tc>
      </w:tr>
      <w:tr w:rsidR="005C446D" w:rsidRPr="005C446D" w14:paraId="5EDB064D" w14:textId="77777777" w:rsidTr="004C4110">
        <w:trPr>
          <w:trHeight w:val="336"/>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22ADD7E1" w14:textId="77777777" w:rsidR="00AC74A0" w:rsidRPr="005C446D" w:rsidRDefault="00AC74A0" w:rsidP="00A45ABF">
            <w:pPr>
              <w:ind w:left="135"/>
              <w:rPr>
                <w:rFonts w:ascii="Times New Roman" w:hAnsi="Times New Roman" w:cs="Times New Roman"/>
                <w:b/>
                <w:bCs/>
                <w:color w:val="000000" w:themeColor="text1"/>
                <w:sz w:val="24"/>
                <w:szCs w:val="24"/>
              </w:rPr>
            </w:pPr>
            <w:r w:rsidRPr="005C446D">
              <w:rPr>
                <w:rFonts w:ascii="Times New Roman" w:hAnsi="Times New Roman" w:cs="Times New Roman"/>
                <w:b/>
                <w:bCs/>
                <w:color w:val="000000" w:themeColor="text1"/>
                <w:sz w:val="24"/>
                <w:szCs w:val="24"/>
              </w:rPr>
              <w:t>Equipment Related</w:t>
            </w:r>
          </w:p>
        </w:tc>
        <w:tc>
          <w:tcPr>
            <w:tcW w:w="2409" w:type="dxa"/>
            <w:tcBorders>
              <w:top w:val="nil"/>
              <w:left w:val="nil"/>
              <w:bottom w:val="single" w:sz="4" w:space="0" w:color="auto"/>
              <w:right w:val="single" w:sz="4" w:space="0" w:color="auto"/>
            </w:tcBorders>
            <w:noWrap/>
            <w:vAlign w:val="center"/>
          </w:tcPr>
          <w:p w14:paraId="023FA64A" w14:textId="77777777" w:rsidR="00AC74A0" w:rsidRPr="005C446D" w:rsidRDefault="00AC74A0" w:rsidP="00A45ABF">
            <w:pPr>
              <w:ind w:right="139"/>
              <w:jc w:val="right"/>
              <w:rPr>
                <w:rFonts w:ascii="Times New Roman" w:hAnsi="Times New Roman" w:cs="Times New Roman"/>
                <w:color w:val="000000" w:themeColor="text1"/>
                <w:sz w:val="24"/>
                <w:szCs w:val="24"/>
              </w:rPr>
            </w:pPr>
          </w:p>
        </w:tc>
      </w:tr>
      <w:tr w:rsidR="005C446D" w:rsidRPr="005C446D" w14:paraId="27EB8CD4" w14:textId="77777777" w:rsidTr="004C4110">
        <w:trPr>
          <w:trHeight w:val="335"/>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138D9244" w14:textId="77777777" w:rsidR="00AC74A0" w:rsidRPr="005C446D" w:rsidRDefault="00AC74A0" w:rsidP="00A45ABF">
            <w:pPr>
              <w:ind w:left="135"/>
              <w:rPr>
                <w:rFonts w:ascii="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Reduction cost of medical and non-medical equipment</w:t>
            </w:r>
          </w:p>
        </w:tc>
        <w:tc>
          <w:tcPr>
            <w:tcW w:w="2409" w:type="dxa"/>
            <w:tcBorders>
              <w:top w:val="nil"/>
              <w:left w:val="nil"/>
              <w:bottom w:val="single" w:sz="4" w:space="0" w:color="auto"/>
              <w:right w:val="single" w:sz="4" w:space="0" w:color="auto"/>
            </w:tcBorders>
            <w:vAlign w:val="center"/>
          </w:tcPr>
          <w:p w14:paraId="39310076" w14:textId="77777777" w:rsidR="00AC74A0" w:rsidRPr="005C446D" w:rsidRDefault="00AC74A0" w:rsidP="00A45ABF">
            <w:pPr>
              <w:ind w:right="139"/>
              <w:jc w:val="right"/>
              <w:rPr>
                <w:rFonts w:ascii="Times New Roman" w:hAnsi="Times New Roman" w:cs="Times New Roman"/>
                <w:color w:val="000000" w:themeColor="text1"/>
                <w:sz w:val="24"/>
                <w:szCs w:val="24"/>
                <w:lang w:val="id-ID"/>
              </w:rPr>
            </w:pPr>
            <w:r w:rsidRPr="005C446D">
              <w:rPr>
                <w:rFonts w:ascii="Times New Roman" w:hAnsi="Times New Roman" w:cs="Times New Roman"/>
                <w:color w:val="000000" w:themeColor="text1"/>
                <w:sz w:val="24"/>
                <w:szCs w:val="24"/>
                <w:lang w:val="id-ID"/>
              </w:rPr>
              <w:t>8.396.763.583</w:t>
            </w:r>
          </w:p>
        </w:tc>
      </w:tr>
      <w:tr w:rsidR="005C446D" w:rsidRPr="005C446D" w14:paraId="7F288A49" w14:textId="77777777" w:rsidTr="004C4110">
        <w:trPr>
          <w:trHeight w:val="349"/>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12867251" w14:textId="77777777" w:rsidR="00AC74A0" w:rsidRPr="005C446D" w:rsidRDefault="00AC74A0" w:rsidP="00A45ABF">
            <w:pPr>
              <w:ind w:left="135"/>
              <w:rPr>
                <w:rFonts w:ascii="Times New Roman" w:hAnsi="Times New Roman" w:cs="Times New Roman"/>
                <w:b/>
                <w:bCs/>
                <w:color w:val="000000" w:themeColor="text1"/>
                <w:sz w:val="24"/>
                <w:szCs w:val="24"/>
              </w:rPr>
            </w:pPr>
            <w:r w:rsidRPr="005C446D">
              <w:rPr>
                <w:rFonts w:ascii="Times New Roman" w:hAnsi="Times New Roman" w:cs="Times New Roman"/>
                <w:b/>
                <w:bCs/>
                <w:color w:val="000000" w:themeColor="text1"/>
                <w:sz w:val="24"/>
                <w:szCs w:val="24"/>
              </w:rPr>
              <w:t>Space Related</w:t>
            </w:r>
          </w:p>
        </w:tc>
        <w:tc>
          <w:tcPr>
            <w:tcW w:w="2409" w:type="dxa"/>
            <w:tcBorders>
              <w:top w:val="nil"/>
              <w:left w:val="nil"/>
              <w:bottom w:val="single" w:sz="4" w:space="0" w:color="auto"/>
              <w:right w:val="single" w:sz="4" w:space="0" w:color="auto"/>
            </w:tcBorders>
            <w:noWrap/>
            <w:vAlign w:val="center"/>
          </w:tcPr>
          <w:p w14:paraId="4ADC43F9" w14:textId="77777777" w:rsidR="00AC74A0" w:rsidRPr="005C446D" w:rsidRDefault="00AC74A0" w:rsidP="00A45ABF">
            <w:pPr>
              <w:ind w:right="139"/>
              <w:jc w:val="right"/>
              <w:rPr>
                <w:rFonts w:ascii="Times New Roman" w:hAnsi="Times New Roman" w:cs="Times New Roman"/>
                <w:color w:val="000000" w:themeColor="text1"/>
                <w:sz w:val="24"/>
                <w:szCs w:val="24"/>
              </w:rPr>
            </w:pPr>
          </w:p>
        </w:tc>
      </w:tr>
      <w:tr w:rsidR="005C446D" w:rsidRPr="005C446D" w14:paraId="246A7A29" w14:textId="77777777" w:rsidTr="004C4110">
        <w:trPr>
          <w:trHeight w:val="321"/>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514E02C3" w14:textId="77777777" w:rsidR="00AC74A0" w:rsidRPr="005C446D" w:rsidRDefault="00AC74A0" w:rsidP="00A45ABF">
            <w:pPr>
              <w:ind w:left="135"/>
              <w:rPr>
                <w:rFonts w:ascii="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 xml:space="preserve">Maintenance cost of equipment and building </w:t>
            </w:r>
          </w:p>
        </w:tc>
        <w:tc>
          <w:tcPr>
            <w:tcW w:w="2409" w:type="dxa"/>
            <w:tcBorders>
              <w:top w:val="nil"/>
              <w:left w:val="nil"/>
              <w:bottom w:val="single" w:sz="4" w:space="0" w:color="auto"/>
              <w:right w:val="single" w:sz="4" w:space="0" w:color="auto"/>
            </w:tcBorders>
            <w:noWrap/>
            <w:vAlign w:val="center"/>
          </w:tcPr>
          <w:p w14:paraId="38CCD093" w14:textId="77777777" w:rsidR="00AC74A0" w:rsidRPr="005C446D" w:rsidRDefault="00AC74A0" w:rsidP="00A45ABF">
            <w:pPr>
              <w:ind w:right="139"/>
              <w:jc w:val="right"/>
              <w:rPr>
                <w:rFonts w:ascii="Times New Roman" w:hAnsi="Times New Roman" w:cs="Times New Roman"/>
                <w:color w:val="000000" w:themeColor="text1"/>
                <w:sz w:val="24"/>
                <w:szCs w:val="24"/>
                <w:lang w:val="id-ID"/>
              </w:rPr>
            </w:pPr>
            <w:r w:rsidRPr="005C446D">
              <w:rPr>
                <w:rFonts w:ascii="Times New Roman" w:hAnsi="Times New Roman" w:cs="Times New Roman"/>
                <w:color w:val="000000" w:themeColor="text1"/>
                <w:sz w:val="24"/>
                <w:szCs w:val="24"/>
                <w:lang w:val="id-ID"/>
              </w:rPr>
              <w:t>1.715.213.104</w:t>
            </w:r>
          </w:p>
        </w:tc>
      </w:tr>
      <w:tr w:rsidR="005C446D" w:rsidRPr="005C446D" w14:paraId="7B4D29F0" w14:textId="77777777" w:rsidTr="004C4110">
        <w:trPr>
          <w:trHeight w:val="349"/>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23DD39CF" w14:textId="77777777" w:rsidR="00AC74A0" w:rsidRPr="005C446D" w:rsidRDefault="00AC74A0" w:rsidP="00A45ABF">
            <w:pPr>
              <w:ind w:left="135"/>
              <w:rPr>
                <w:rFonts w:ascii="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 xml:space="preserve">Reduction cost of building </w:t>
            </w:r>
          </w:p>
        </w:tc>
        <w:tc>
          <w:tcPr>
            <w:tcW w:w="2409" w:type="dxa"/>
            <w:tcBorders>
              <w:top w:val="nil"/>
              <w:left w:val="nil"/>
              <w:bottom w:val="single" w:sz="4" w:space="0" w:color="auto"/>
              <w:right w:val="single" w:sz="4" w:space="0" w:color="auto"/>
            </w:tcBorders>
            <w:noWrap/>
            <w:vAlign w:val="center"/>
          </w:tcPr>
          <w:p w14:paraId="78FF758A" w14:textId="77777777" w:rsidR="00AC74A0" w:rsidRPr="005C446D" w:rsidRDefault="00AC74A0" w:rsidP="00A45ABF">
            <w:pPr>
              <w:ind w:right="139"/>
              <w:jc w:val="right"/>
              <w:rPr>
                <w:rFonts w:ascii="Times New Roman" w:hAnsi="Times New Roman" w:cs="Times New Roman"/>
                <w:color w:val="000000" w:themeColor="text1"/>
                <w:sz w:val="24"/>
                <w:szCs w:val="24"/>
                <w:lang w:val="id-ID"/>
              </w:rPr>
            </w:pPr>
            <w:r w:rsidRPr="005C446D">
              <w:rPr>
                <w:rFonts w:ascii="Times New Roman" w:hAnsi="Times New Roman" w:cs="Times New Roman"/>
                <w:color w:val="000000" w:themeColor="text1"/>
                <w:sz w:val="24"/>
                <w:szCs w:val="24"/>
                <w:lang w:val="id-ID"/>
              </w:rPr>
              <w:t>1.209.314.042</w:t>
            </w:r>
          </w:p>
        </w:tc>
      </w:tr>
      <w:tr w:rsidR="005C446D" w:rsidRPr="005C446D" w14:paraId="185F1372" w14:textId="77777777" w:rsidTr="004C4110">
        <w:trPr>
          <w:trHeight w:val="322"/>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5A4ED14D" w14:textId="77777777" w:rsidR="00AC74A0" w:rsidRPr="005C446D" w:rsidRDefault="00AC74A0" w:rsidP="00A45ABF">
            <w:pPr>
              <w:ind w:left="135"/>
              <w:rPr>
                <w:rFonts w:ascii="Times New Roman" w:hAnsi="Times New Roman" w:cs="Times New Roman"/>
                <w:b/>
                <w:bCs/>
                <w:color w:val="000000" w:themeColor="text1"/>
                <w:sz w:val="24"/>
                <w:szCs w:val="24"/>
              </w:rPr>
            </w:pPr>
            <w:r w:rsidRPr="005C446D">
              <w:rPr>
                <w:rFonts w:ascii="Times New Roman" w:hAnsi="Times New Roman" w:cs="Times New Roman"/>
                <w:b/>
                <w:bCs/>
                <w:color w:val="000000" w:themeColor="text1"/>
                <w:sz w:val="24"/>
                <w:szCs w:val="24"/>
              </w:rPr>
              <w:t>Service Related</w:t>
            </w:r>
          </w:p>
        </w:tc>
        <w:tc>
          <w:tcPr>
            <w:tcW w:w="2409" w:type="dxa"/>
            <w:tcBorders>
              <w:top w:val="nil"/>
              <w:left w:val="nil"/>
              <w:bottom w:val="single" w:sz="4" w:space="0" w:color="auto"/>
              <w:right w:val="single" w:sz="4" w:space="0" w:color="auto"/>
            </w:tcBorders>
            <w:noWrap/>
            <w:vAlign w:val="center"/>
          </w:tcPr>
          <w:p w14:paraId="1CC04D38" w14:textId="77777777" w:rsidR="00AC74A0" w:rsidRPr="005C446D" w:rsidRDefault="00AC74A0" w:rsidP="00A45ABF">
            <w:pPr>
              <w:ind w:right="139"/>
              <w:jc w:val="right"/>
              <w:rPr>
                <w:rFonts w:ascii="Times New Roman" w:hAnsi="Times New Roman" w:cs="Times New Roman"/>
                <w:color w:val="000000" w:themeColor="text1"/>
                <w:sz w:val="24"/>
                <w:szCs w:val="24"/>
              </w:rPr>
            </w:pPr>
          </w:p>
        </w:tc>
      </w:tr>
      <w:tr w:rsidR="005C446D" w:rsidRPr="005C446D" w14:paraId="3DB196CD" w14:textId="77777777" w:rsidTr="004C4110">
        <w:trPr>
          <w:trHeight w:val="349"/>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1279B570" w14:textId="77777777" w:rsidR="00AC74A0" w:rsidRPr="005C446D" w:rsidRDefault="00AC74A0" w:rsidP="00A45ABF">
            <w:pPr>
              <w:ind w:left="135"/>
              <w:rPr>
                <w:rFonts w:ascii="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 xml:space="preserve">Cost of Electric, Water, and Telephone </w:t>
            </w:r>
          </w:p>
        </w:tc>
        <w:tc>
          <w:tcPr>
            <w:tcW w:w="2409" w:type="dxa"/>
            <w:tcBorders>
              <w:top w:val="nil"/>
              <w:left w:val="nil"/>
              <w:bottom w:val="single" w:sz="4" w:space="0" w:color="auto"/>
              <w:right w:val="single" w:sz="4" w:space="0" w:color="auto"/>
            </w:tcBorders>
            <w:noWrap/>
            <w:vAlign w:val="center"/>
          </w:tcPr>
          <w:p w14:paraId="623245EE" w14:textId="77777777" w:rsidR="00AC74A0" w:rsidRPr="005C446D" w:rsidRDefault="00AC74A0" w:rsidP="00A45ABF">
            <w:pPr>
              <w:ind w:right="139"/>
              <w:jc w:val="right"/>
              <w:rPr>
                <w:rFonts w:ascii="Times New Roman" w:hAnsi="Times New Roman" w:cs="Times New Roman"/>
                <w:color w:val="000000" w:themeColor="text1"/>
                <w:sz w:val="24"/>
                <w:szCs w:val="24"/>
                <w:lang w:val="id-ID"/>
              </w:rPr>
            </w:pPr>
            <w:r w:rsidRPr="005C446D">
              <w:rPr>
                <w:rFonts w:ascii="Times New Roman" w:hAnsi="Times New Roman" w:cs="Times New Roman"/>
                <w:color w:val="000000" w:themeColor="text1"/>
                <w:sz w:val="24"/>
                <w:szCs w:val="24"/>
                <w:lang w:val="id-ID"/>
              </w:rPr>
              <w:t>1.682.866.460</w:t>
            </w:r>
          </w:p>
        </w:tc>
      </w:tr>
      <w:tr w:rsidR="005C446D" w:rsidRPr="005C446D" w14:paraId="33B69229" w14:textId="77777777" w:rsidTr="004C4110">
        <w:trPr>
          <w:trHeight w:val="322"/>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60F2FA0E" w14:textId="77777777" w:rsidR="00AC74A0" w:rsidRPr="005C446D" w:rsidRDefault="00AC74A0" w:rsidP="00A45ABF">
            <w:pPr>
              <w:ind w:left="135"/>
              <w:rPr>
                <w:rFonts w:ascii="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 xml:space="preserve">Cost of Cleanliness </w:t>
            </w:r>
          </w:p>
        </w:tc>
        <w:tc>
          <w:tcPr>
            <w:tcW w:w="2409" w:type="dxa"/>
            <w:tcBorders>
              <w:top w:val="nil"/>
              <w:left w:val="nil"/>
              <w:bottom w:val="single" w:sz="4" w:space="0" w:color="auto"/>
              <w:right w:val="single" w:sz="4" w:space="0" w:color="auto"/>
            </w:tcBorders>
            <w:noWrap/>
            <w:vAlign w:val="center"/>
          </w:tcPr>
          <w:p w14:paraId="646FE524" w14:textId="77777777" w:rsidR="00AC74A0" w:rsidRPr="005C446D" w:rsidRDefault="00AC74A0" w:rsidP="00A45ABF">
            <w:pPr>
              <w:ind w:right="139"/>
              <w:jc w:val="right"/>
              <w:rPr>
                <w:rFonts w:ascii="Times New Roman" w:hAnsi="Times New Roman" w:cs="Times New Roman"/>
                <w:color w:val="000000" w:themeColor="text1"/>
                <w:sz w:val="24"/>
                <w:szCs w:val="24"/>
                <w:lang w:val="id-ID"/>
              </w:rPr>
            </w:pPr>
            <w:r w:rsidRPr="005C446D">
              <w:rPr>
                <w:rFonts w:ascii="Times New Roman" w:hAnsi="Times New Roman" w:cs="Times New Roman"/>
                <w:color w:val="000000" w:themeColor="text1"/>
                <w:sz w:val="24"/>
                <w:szCs w:val="24"/>
                <w:lang w:val="id-ID"/>
              </w:rPr>
              <w:t>2.538.158.929</w:t>
            </w:r>
          </w:p>
        </w:tc>
      </w:tr>
      <w:tr w:rsidR="005C446D" w:rsidRPr="005C446D" w14:paraId="06193002" w14:textId="77777777" w:rsidTr="004C4110">
        <w:trPr>
          <w:trHeight w:val="349"/>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7E1200F0" w14:textId="77777777" w:rsidR="00AC74A0" w:rsidRPr="005C446D" w:rsidRDefault="00AC74A0" w:rsidP="00A45ABF">
            <w:pPr>
              <w:ind w:left="135"/>
              <w:rPr>
                <w:rFonts w:ascii="Times New Roman" w:hAnsi="Times New Roman" w:cs="Times New Roman"/>
                <w:color w:val="000000" w:themeColor="text1"/>
                <w:sz w:val="24"/>
                <w:szCs w:val="24"/>
              </w:rPr>
            </w:pPr>
            <w:r w:rsidRPr="005C446D">
              <w:rPr>
                <w:rFonts w:ascii="Times New Roman" w:hAnsi="Times New Roman" w:cs="Times New Roman"/>
                <w:color w:val="000000" w:themeColor="text1"/>
                <w:sz w:val="24"/>
                <w:szCs w:val="24"/>
              </w:rPr>
              <w:t xml:space="preserve">Cost of Office Stationery and Houseware </w:t>
            </w:r>
          </w:p>
        </w:tc>
        <w:tc>
          <w:tcPr>
            <w:tcW w:w="2409" w:type="dxa"/>
            <w:tcBorders>
              <w:top w:val="nil"/>
              <w:left w:val="nil"/>
              <w:bottom w:val="single" w:sz="4" w:space="0" w:color="auto"/>
              <w:right w:val="single" w:sz="4" w:space="0" w:color="auto"/>
            </w:tcBorders>
            <w:noWrap/>
            <w:vAlign w:val="center"/>
          </w:tcPr>
          <w:p w14:paraId="13BAF36C" w14:textId="77777777" w:rsidR="00AC74A0" w:rsidRPr="005C446D" w:rsidRDefault="00AC74A0" w:rsidP="00A45ABF">
            <w:pPr>
              <w:ind w:right="139"/>
              <w:jc w:val="right"/>
              <w:rPr>
                <w:rFonts w:ascii="Times New Roman" w:hAnsi="Times New Roman" w:cs="Times New Roman"/>
                <w:color w:val="000000" w:themeColor="text1"/>
                <w:sz w:val="24"/>
                <w:szCs w:val="24"/>
                <w:lang w:val="id-ID"/>
              </w:rPr>
            </w:pPr>
            <w:r w:rsidRPr="005C446D">
              <w:rPr>
                <w:rFonts w:ascii="Times New Roman" w:hAnsi="Times New Roman" w:cs="Times New Roman"/>
                <w:color w:val="000000" w:themeColor="text1"/>
                <w:sz w:val="24"/>
                <w:szCs w:val="24"/>
                <w:lang w:val="id-ID"/>
              </w:rPr>
              <w:t>1.976.282.325</w:t>
            </w:r>
          </w:p>
        </w:tc>
      </w:tr>
      <w:tr w:rsidR="004C4110" w:rsidRPr="005C446D" w14:paraId="1B4D8D31" w14:textId="77777777" w:rsidTr="004C4110">
        <w:trPr>
          <w:trHeight w:val="349"/>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0F5371EE" w14:textId="77777777" w:rsidR="00AC74A0" w:rsidRPr="005C446D" w:rsidRDefault="00AC74A0" w:rsidP="00AC74A0">
            <w:pPr>
              <w:jc w:val="center"/>
              <w:rPr>
                <w:rFonts w:ascii="Times New Roman" w:hAnsi="Times New Roman" w:cs="Times New Roman"/>
                <w:b/>
                <w:bCs/>
                <w:color w:val="000000" w:themeColor="text1"/>
                <w:sz w:val="24"/>
                <w:szCs w:val="24"/>
              </w:rPr>
            </w:pPr>
            <w:r w:rsidRPr="005C446D">
              <w:rPr>
                <w:rFonts w:ascii="Times New Roman" w:hAnsi="Times New Roman" w:cs="Times New Roman"/>
                <w:b/>
                <w:bCs/>
                <w:color w:val="000000" w:themeColor="text1"/>
                <w:sz w:val="24"/>
                <w:szCs w:val="24"/>
              </w:rPr>
              <w:t>Total</w:t>
            </w:r>
          </w:p>
        </w:tc>
        <w:tc>
          <w:tcPr>
            <w:tcW w:w="2409" w:type="dxa"/>
            <w:tcBorders>
              <w:top w:val="nil"/>
              <w:left w:val="nil"/>
              <w:bottom w:val="single" w:sz="4" w:space="0" w:color="auto"/>
              <w:right w:val="single" w:sz="4" w:space="0" w:color="auto"/>
            </w:tcBorders>
            <w:noWrap/>
            <w:vAlign w:val="center"/>
          </w:tcPr>
          <w:p w14:paraId="0F466997" w14:textId="77777777" w:rsidR="00AC74A0" w:rsidRPr="005C446D" w:rsidRDefault="00AC74A0" w:rsidP="00A45ABF">
            <w:pPr>
              <w:ind w:right="139"/>
              <w:jc w:val="right"/>
              <w:rPr>
                <w:rFonts w:ascii="Times New Roman" w:hAnsi="Times New Roman" w:cs="Times New Roman"/>
                <w:b/>
                <w:color w:val="000000" w:themeColor="text1"/>
                <w:sz w:val="24"/>
                <w:szCs w:val="24"/>
                <w:lang w:val="id-ID"/>
              </w:rPr>
            </w:pPr>
            <w:r w:rsidRPr="005C446D">
              <w:rPr>
                <w:rFonts w:ascii="Times New Roman" w:hAnsi="Times New Roman" w:cs="Times New Roman"/>
                <w:b/>
                <w:color w:val="000000" w:themeColor="text1"/>
                <w:sz w:val="24"/>
                <w:szCs w:val="24"/>
                <w:lang w:val="id-ID"/>
              </w:rPr>
              <w:t>43.227.652.348</w:t>
            </w:r>
          </w:p>
        </w:tc>
      </w:tr>
    </w:tbl>
    <w:p w14:paraId="6AE19AFF" w14:textId="77777777" w:rsidR="00AC74A0" w:rsidRPr="005C446D" w:rsidRDefault="00AC74A0" w:rsidP="00AC74A0">
      <w:pPr>
        <w:pStyle w:val="ListParagraph"/>
        <w:spacing w:after="0" w:line="240" w:lineRule="auto"/>
        <w:ind w:left="360"/>
        <w:jc w:val="both"/>
        <w:rPr>
          <w:rFonts w:ascii="Times New Roman" w:hAnsi="Times New Roman"/>
          <w:b/>
          <w:color w:val="000000" w:themeColor="text1"/>
          <w:sz w:val="24"/>
          <w:szCs w:val="24"/>
          <w:lang w:val="id-ID"/>
        </w:rPr>
      </w:pPr>
    </w:p>
    <w:p w14:paraId="29DAAB62" w14:textId="44ED951C" w:rsidR="00AC74A0" w:rsidRPr="005C446D" w:rsidRDefault="00AC74A0" w:rsidP="00AC74A0">
      <w:pPr>
        <w:pStyle w:val="ListParagraph"/>
        <w:spacing w:after="0" w:line="240" w:lineRule="auto"/>
        <w:ind w:left="360"/>
        <w:jc w:val="both"/>
        <w:rPr>
          <w:rFonts w:ascii="Times New Roman" w:hAnsi="Times New Roman"/>
          <w:color w:val="000000" w:themeColor="text1"/>
          <w:sz w:val="24"/>
          <w:szCs w:val="24"/>
        </w:rPr>
      </w:pPr>
      <w:proofErr w:type="spellStart"/>
      <w:r w:rsidRPr="005C446D">
        <w:rPr>
          <w:rFonts w:ascii="Times New Roman" w:hAnsi="Times New Roman"/>
          <w:bCs/>
          <w:color w:val="000000" w:themeColor="text1"/>
          <w:sz w:val="24"/>
          <w:szCs w:val="24"/>
        </w:rPr>
        <w:t>Tabel</w:t>
      </w:r>
      <w:proofErr w:type="spellEnd"/>
      <w:r w:rsidRPr="005C446D">
        <w:rPr>
          <w:rFonts w:ascii="Times New Roman" w:hAnsi="Times New Roman"/>
          <w:color w:val="000000" w:themeColor="text1"/>
          <w:sz w:val="24"/>
          <w:szCs w:val="24"/>
          <w:lang w:val="id-ID"/>
        </w:rPr>
        <w:t xml:space="preserve"> 5. </w:t>
      </w:r>
      <w:r w:rsidRPr="005C446D">
        <w:rPr>
          <w:rFonts w:ascii="Times New Roman" w:hAnsi="Times New Roman"/>
          <w:color w:val="000000" w:themeColor="text1"/>
          <w:sz w:val="24"/>
          <w:szCs w:val="24"/>
        </w:rPr>
        <w:t>The proportion of revenues of each unit</w:t>
      </w:r>
    </w:p>
    <w:tbl>
      <w:tblPr>
        <w:tblW w:w="8764" w:type="dxa"/>
        <w:tblInd w:w="291" w:type="dxa"/>
        <w:tblLayout w:type="fixed"/>
        <w:tblCellMar>
          <w:left w:w="0" w:type="dxa"/>
          <w:right w:w="0" w:type="dxa"/>
        </w:tblCellMar>
        <w:tblLook w:val="04A0" w:firstRow="1" w:lastRow="0" w:firstColumn="1" w:lastColumn="0" w:noHBand="0" w:noVBand="1"/>
      </w:tblPr>
      <w:tblGrid>
        <w:gridCol w:w="2823"/>
        <w:gridCol w:w="1984"/>
        <w:gridCol w:w="1560"/>
        <w:gridCol w:w="2397"/>
      </w:tblGrid>
      <w:tr w:rsidR="005C446D" w:rsidRPr="005C446D" w14:paraId="726D8FB1" w14:textId="77777777" w:rsidTr="005C14D1">
        <w:trPr>
          <w:trHeight w:val="927"/>
        </w:trPr>
        <w:tc>
          <w:tcPr>
            <w:tcW w:w="2823" w:type="dxa"/>
            <w:tcBorders>
              <w:top w:val="single" w:sz="4" w:space="0" w:color="auto"/>
              <w:left w:val="single" w:sz="4" w:space="0" w:color="auto"/>
              <w:bottom w:val="single" w:sz="4" w:space="0" w:color="auto"/>
              <w:right w:val="single" w:sz="4" w:space="0" w:color="auto"/>
            </w:tcBorders>
            <w:noWrap/>
            <w:vAlign w:val="center"/>
            <w:hideMark/>
          </w:tcPr>
          <w:p w14:paraId="69C233FF" w14:textId="77777777" w:rsidR="00AC74A0" w:rsidRPr="005C446D" w:rsidRDefault="00AC74A0" w:rsidP="00A45ABF">
            <w:pPr>
              <w:jc w:val="center"/>
              <w:rPr>
                <w:rFonts w:ascii="Times New Roman" w:hAnsi="Times New Roman" w:cs="Times New Roman"/>
                <w:b/>
                <w:color w:val="000000" w:themeColor="text1"/>
                <w:w w:val="95"/>
                <w:sz w:val="24"/>
                <w:szCs w:val="24"/>
              </w:rPr>
            </w:pPr>
            <w:r w:rsidRPr="005C446D">
              <w:rPr>
                <w:rFonts w:ascii="Times New Roman" w:hAnsi="Times New Roman" w:cs="Times New Roman"/>
                <w:b/>
                <w:color w:val="000000" w:themeColor="text1"/>
                <w:w w:val="95"/>
                <w:sz w:val="24"/>
                <w:szCs w:val="24"/>
              </w:rPr>
              <w:t>Unit</w:t>
            </w:r>
          </w:p>
        </w:tc>
        <w:tc>
          <w:tcPr>
            <w:tcW w:w="1984" w:type="dxa"/>
            <w:tcBorders>
              <w:top w:val="single" w:sz="4" w:space="0" w:color="auto"/>
              <w:left w:val="nil"/>
              <w:bottom w:val="single" w:sz="4" w:space="0" w:color="auto"/>
              <w:right w:val="single" w:sz="4" w:space="0" w:color="000000"/>
            </w:tcBorders>
            <w:noWrap/>
            <w:vAlign w:val="center"/>
            <w:hideMark/>
          </w:tcPr>
          <w:p w14:paraId="5A51C063" w14:textId="77777777" w:rsidR="00AC74A0" w:rsidRPr="005C446D" w:rsidRDefault="00AC74A0" w:rsidP="00A45ABF">
            <w:pPr>
              <w:ind w:left="137"/>
              <w:jc w:val="center"/>
              <w:rPr>
                <w:rFonts w:ascii="Times New Roman" w:hAnsi="Times New Roman" w:cs="Times New Roman"/>
                <w:b/>
                <w:color w:val="000000" w:themeColor="text1"/>
                <w:w w:val="95"/>
                <w:sz w:val="24"/>
                <w:szCs w:val="24"/>
              </w:rPr>
            </w:pPr>
            <w:r w:rsidRPr="005C446D">
              <w:rPr>
                <w:rFonts w:ascii="Times New Roman" w:hAnsi="Times New Roman" w:cs="Times New Roman"/>
                <w:b/>
                <w:bCs/>
                <w:color w:val="000000" w:themeColor="text1"/>
                <w:w w:val="95"/>
                <w:sz w:val="24"/>
                <w:szCs w:val="24"/>
              </w:rPr>
              <w:t xml:space="preserve">Total of Earning year of 2016 </w:t>
            </w:r>
            <w:r w:rsidRPr="005C446D">
              <w:rPr>
                <w:rFonts w:ascii="Times New Roman" w:hAnsi="Times New Roman" w:cs="Times New Roman"/>
                <w:b/>
                <w:bCs/>
                <w:color w:val="000000" w:themeColor="text1"/>
                <w:w w:val="95"/>
                <w:sz w:val="24"/>
                <w:szCs w:val="24"/>
                <w:vertAlign w:val="superscript"/>
              </w:rPr>
              <w:t>(a)</w:t>
            </w:r>
          </w:p>
        </w:tc>
        <w:tc>
          <w:tcPr>
            <w:tcW w:w="1560" w:type="dxa"/>
            <w:tcBorders>
              <w:top w:val="single" w:sz="4" w:space="0" w:color="auto"/>
              <w:left w:val="nil"/>
              <w:bottom w:val="single" w:sz="4" w:space="0" w:color="auto"/>
              <w:right w:val="single" w:sz="4" w:space="0" w:color="auto"/>
            </w:tcBorders>
            <w:noWrap/>
            <w:vAlign w:val="center"/>
            <w:hideMark/>
          </w:tcPr>
          <w:p w14:paraId="0D4E6E62" w14:textId="41142169" w:rsidR="00AC74A0" w:rsidRPr="005C446D" w:rsidRDefault="00161A50" w:rsidP="00A45ABF">
            <w:pPr>
              <w:jc w:val="center"/>
              <w:rPr>
                <w:rFonts w:ascii="Times New Roman" w:hAnsi="Times New Roman" w:cs="Times New Roman"/>
                <w:b/>
                <w:color w:val="000000" w:themeColor="text1"/>
                <w:w w:val="95"/>
                <w:sz w:val="24"/>
                <w:szCs w:val="24"/>
              </w:rPr>
            </w:pPr>
            <w:r>
              <w:rPr>
                <w:rFonts w:ascii="Times New Roman" w:hAnsi="Times New Roman" w:cs="Times New Roman"/>
                <w:b/>
                <w:color w:val="000000" w:themeColor="text1"/>
                <w:w w:val="95"/>
                <w:sz w:val="24"/>
                <w:szCs w:val="24"/>
              </w:rPr>
              <w:t>(</w:t>
            </w:r>
            <w:r w:rsidR="00AC74A0" w:rsidRPr="005C446D">
              <w:rPr>
                <w:rFonts w:ascii="Times New Roman" w:hAnsi="Times New Roman" w:cs="Times New Roman"/>
                <w:b/>
                <w:color w:val="000000" w:themeColor="text1"/>
                <w:w w:val="95"/>
                <w:sz w:val="24"/>
                <w:szCs w:val="24"/>
              </w:rPr>
              <w:t>%)</w:t>
            </w:r>
            <w:r w:rsidR="00AC74A0" w:rsidRPr="005C446D">
              <w:rPr>
                <w:rFonts w:ascii="Times New Roman" w:hAnsi="Times New Roman" w:cs="Times New Roman"/>
                <w:b/>
                <w:color w:val="000000" w:themeColor="text1"/>
                <w:w w:val="95"/>
                <w:sz w:val="24"/>
                <w:szCs w:val="24"/>
                <w:vertAlign w:val="superscript"/>
              </w:rPr>
              <w:t xml:space="preserve"> (c)</w:t>
            </w:r>
          </w:p>
        </w:tc>
        <w:tc>
          <w:tcPr>
            <w:tcW w:w="2397" w:type="dxa"/>
            <w:tcBorders>
              <w:top w:val="single" w:sz="4" w:space="0" w:color="auto"/>
              <w:left w:val="nil"/>
              <w:bottom w:val="single" w:sz="4" w:space="0" w:color="auto"/>
              <w:right w:val="single" w:sz="4" w:space="0" w:color="auto"/>
            </w:tcBorders>
            <w:noWrap/>
            <w:vAlign w:val="center"/>
            <w:hideMark/>
          </w:tcPr>
          <w:p w14:paraId="14ED65F8" w14:textId="77777777" w:rsidR="00AC74A0" w:rsidRPr="005C446D" w:rsidRDefault="00AC74A0" w:rsidP="00A45ABF">
            <w:pPr>
              <w:jc w:val="center"/>
              <w:rPr>
                <w:rFonts w:ascii="Times New Roman" w:hAnsi="Times New Roman" w:cs="Times New Roman"/>
                <w:b/>
                <w:color w:val="000000" w:themeColor="text1"/>
                <w:w w:val="95"/>
                <w:sz w:val="24"/>
                <w:szCs w:val="24"/>
              </w:rPr>
            </w:pPr>
            <w:r w:rsidRPr="005C446D">
              <w:rPr>
                <w:rFonts w:ascii="Times New Roman" w:hAnsi="Times New Roman" w:cs="Times New Roman"/>
                <w:b/>
                <w:color w:val="000000" w:themeColor="text1"/>
                <w:w w:val="95"/>
                <w:sz w:val="24"/>
                <w:szCs w:val="24"/>
              </w:rPr>
              <w:t>Cost (</w:t>
            </w:r>
            <w:proofErr w:type="spellStart"/>
            <w:r w:rsidRPr="005C446D">
              <w:rPr>
                <w:rFonts w:ascii="Times New Roman" w:hAnsi="Times New Roman" w:cs="Times New Roman"/>
                <w:b/>
                <w:color w:val="000000" w:themeColor="text1"/>
                <w:w w:val="95"/>
                <w:sz w:val="24"/>
                <w:szCs w:val="24"/>
              </w:rPr>
              <w:t>Rp</w:t>
            </w:r>
            <w:proofErr w:type="spellEnd"/>
            <w:r w:rsidRPr="005C446D">
              <w:rPr>
                <w:rFonts w:ascii="Times New Roman" w:hAnsi="Times New Roman" w:cs="Times New Roman"/>
                <w:b/>
                <w:color w:val="000000" w:themeColor="text1"/>
                <w:w w:val="95"/>
                <w:sz w:val="24"/>
                <w:szCs w:val="24"/>
              </w:rPr>
              <w:t>)</w:t>
            </w:r>
            <w:r w:rsidRPr="005C446D">
              <w:rPr>
                <w:rFonts w:ascii="Times New Roman" w:hAnsi="Times New Roman" w:cs="Times New Roman"/>
                <w:b/>
                <w:color w:val="000000" w:themeColor="text1"/>
                <w:w w:val="95"/>
                <w:sz w:val="24"/>
                <w:szCs w:val="24"/>
                <w:vertAlign w:val="superscript"/>
              </w:rPr>
              <w:t xml:space="preserve"> (d)</w:t>
            </w:r>
          </w:p>
        </w:tc>
      </w:tr>
      <w:tr w:rsidR="005C446D" w:rsidRPr="005C446D" w14:paraId="6A48CFDB" w14:textId="77777777" w:rsidTr="005C14D1">
        <w:trPr>
          <w:trHeight w:val="350"/>
        </w:trPr>
        <w:tc>
          <w:tcPr>
            <w:tcW w:w="2823" w:type="dxa"/>
            <w:tcBorders>
              <w:top w:val="nil"/>
              <w:left w:val="single" w:sz="4" w:space="0" w:color="auto"/>
              <w:bottom w:val="single" w:sz="4" w:space="0" w:color="auto"/>
              <w:right w:val="single" w:sz="4" w:space="0" w:color="auto"/>
            </w:tcBorders>
            <w:noWrap/>
            <w:vAlign w:val="center"/>
            <w:hideMark/>
          </w:tcPr>
          <w:p w14:paraId="702E66C5" w14:textId="77777777" w:rsidR="00AC74A0" w:rsidRPr="005C446D" w:rsidRDefault="00AC74A0" w:rsidP="005C14D1">
            <w:pPr>
              <w:ind w:left="142" w:right="138"/>
              <w:rPr>
                <w:rFonts w:ascii="Times New Roman" w:hAnsi="Times New Roman" w:cs="Times New Roman"/>
                <w:color w:val="000000" w:themeColor="text1"/>
                <w:w w:val="95"/>
                <w:sz w:val="24"/>
                <w:szCs w:val="24"/>
              </w:rPr>
            </w:pPr>
            <w:r w:rsidRPr="005C446D">
              <w:rPr>
                <w:rFonts w:ascii="Times New Roman" w:hAnsi="Times New Roman" w:cs="Times New Roman"/>
                <w:b/>
                <w:bCs/>
                <w:color w:val="000000" w:themeColor="text1"/>
                <w:w w:val="95"/>
                <w:sz w:val="24"/>
                <w:szCs w:val="24"/>
              </w:rPr>
              <w:t>Emergency departments</w:t>
            </w:r>
          </w:p>
        </w:tc>
        <w:tc>
          <w:tcPr>
            <w:tcW w:w="1984" w:type="dxa"/>
            <w:tcBorders>
              <w:top w:val="single" w:sz="4" w:space="0" w:color="auto"/>
              <w:left w:val="nil"/>
              <w:bottom w:val="single" w:sz="4" w:space="0" w:color="auto"/>
              <w:right w:val="single" w:sz="4" w:space="0" w:color="auto"/>
            </w:tcBorders>
            <w:noWrap/>
            <w:vAlign w:val="center"/>
          </w:tcPr>
          <w:p w14:paraId="3F297BF1"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2.685.161.652</w:t>
            </w:r>
          </w:p>
        </w:tc>
        <w:tc>
          <w:tcPr>
            <w:tcW w:w="1560" w:type="dxa"/>
            <w:tcBorders>
              <w:top w:val="single" w:sz="4" w:space="0" w:color="auto"/>
              <w:left w:val="nil"/>
              <w:bottom w:val="single" w:sz="4" w:space="0" w:color="auto"/>
              <w:right w:val="single" w:sz="4" w:space="0" w:color="auto"/>
            </w:tcBorders>
            <w:noWrap/>
            <w:vAlign w:val="center"/>
          </w:tcPr>
          <w:p w14:paraId="3584A771" w14:textId="77777777" w:rsidR="00AC74A0" w:rsidRPr="005C446D" w:rsidRDefault="00AC74A0" w:rsidP="00A45ABF">
            <w:pPr>
              <w:ind w:right="129"/>
              <w:jc w:val="right"/>
              <w:rPr>
                <w:rFonts w:ascii="Times New Roman" w:hAnsi="Times New Roman" w:cs="Times New Roman"/>
                <w:color w:val="000000" w:themeColor="text1"/>
                <w:w w:val="95"/>
                <w:sz w:val="24"/>
                <w:szCs w:val="24"/>
                <w:lang w:val="id-ID"/>
              </w:rPr>
            </w:pPr>
            <w:r w:rsidRPr="005C446D">
              <w:rPr>
                <w:rFonts w:ascii="Times New Roman" w:hAnsi="Times New Roman" w:cs="Times New Roman"/>
                <w:color w:val="000000" w:themeColor="text1"/>
                <w:w w:val="95"/>
                <w:sz w:val="24"/>
                <w:szCs w:val="24"/>
                <w:lang w:val="id-ID"/>
              </w:rPr>
              <w:t>3.61%</w:t>
            </w:r>
          </w:p>
        </w:tc>
        <w:tc>
          <w:tcPr>
            <w:tcW w:w="2397" w:type="dxa"/>
            <w:tcBorders>
              <w:top w:val="nil"/>
              <w:left w:val="nil"/>
              <w:bottom w:val="single" w:sz="4" w:space="0" w:color="auto"/>
              <w:right w:val="single" w:sz="4" w:space="0" w:color="auto"/>
            </w:tcBorders>
            <w:noWrap/>
            <w:vAlign w:val="center"/>
          </w:tcPr>
          <w:p w14:paraId="3D185A31" w14:textId="77777777" w:rsidR="00AC74A0" w:rsidRPr="005C446D" w:rsidRDefault="00AC74A0" w:rsidP="00A45ABF">
            <w:pPr>
              <w:ind w:right="135"/>
              <w:jc w:val="right"/>
              <w:rPr>
                <w:rFonts w:ascii="Times New Roman" w:hAnsi="Times New Roman" w:cs="Times New Roman"/>
                <w:color w:val="000000" w:themeColor="text1"/>
                <w:w w:val="95"/>
                <w:sz w:val="24"/>
                <w:szCs w:val="24"/>
                <w:lang w:val="id-ID"/>
              </w:rPr>
            </w:pPr>
            <w:r w:rsidRPr="005C446D">
              <w:rPr>
                <w:rFonts w:ascii="Times New Roman" w:hAnsi="Times New Roman" w:cs="Times New Roman"/>
                <w:color w:val="000000" w:themeColor="text1"/>
                <w:w w:val="95"/>
                <w:sz w:val="24"/>
                <w:szCs w:val="24"/>
                <w:lang w:val="id-ID"/>
              </w:rPr>
              <w:t>1.559.862.006,87</w:t>
            </w:r>
          </w:p>
        </w:tc>
      </w:tr>
      <w:tr w:rsidR="005C446D" w:rsidRPr="005C446D" w14:paraId="7E062487" w14:textId="77777777" w:rsidTr="005C14D1">
        <w:trPr>
          <w:trHeight w:val="382"/>
        </w:trPr>
        <w:tc>
          <w:tcPr>
            <w:tcW w:w="2823" w:type="dxa"/>
            <w:tcBorders>
              <w:top w:val="nil"/>
              <w:left w:val="single" w:sz="4" w:space="0" w:color="auto"/>
              <w:bottom w:val="single" w:sz="4" w:space="0" w:color="auto"/>
              <w:right w:val="single" w:sz="4" w:space="0" w:color="auto"/>
            </w:tcBorders>
            <w:noWrap/>
            <w:vAlign w:val="center"/>
            <w:hideMark/>
          </w:tcPr>
          <w:p w14:paraId="065AFE65" w14:textId="77777777" w:rsidR="00AC74A0" w:rsidRPr="005C446D" w:rsidRDefault="00AC74A0" w:rsidP="00A45ABF">
            <w:pPr>
              <w:ind w:left="142"/>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Outpatient</w:t>
            </w:r>
          </w:p>
        </w:tc>
        <w:tc>
          <w:tcPr>
            <w:tcW w:w="1984" w:type="dxa"/>
            <w:tcBorders>
              <w:top w:val="single" w:sz="4" w:space="0" w:color="auto"/>
              <w:left w:val="nil"/>
              <w:bottom w:val="single" w:sz="4" w:space="0" w:color="auto"/>
              <w:right w:val="single" w:sz="4" w:space="0" w:color="auto"/>
            </w:tcBorders>
            <w:noWrap/>
            <w:vAlign w:val="center"/>
          </w:tcPr>
          <w:p w14:paraId="6BDE2981"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9.705.399.708</w:t>
            </w:r>
          </w:p>
        </w:tc>
        <w:tc>
          <w:tcPr>
            <w:tcW w:w="1560" w:type="dxa"/>
            <w:tcBorders>
              <w:top w:val="single" w:sz="4" w:space="0" w:color="auto"/>
              <w:left w:val="nil"/>
              <w:bottom w:val="single" w:sz="4" w:space="0" w:color="auto"/>
              <w:right w:val="single" w:sz="4" w:space="0" w:color="auto"/>
            </w:tcBorders>
            <w:noWrap/>
            <w:vAlign w:val="center"/>
          </w:tcPr>
          <w:p w14:paraId="44EB1846" w14:textId="77777777" w:rsidR="00AC74A0" w:rsidRPr="005C446D" w:rsidRDefault="00AC74A0" w:rsidP="00A45ABF">
            <w:pPr>
              <w:ind w:right="129"/>
              <w:jc w:val="right"/>
              <w:rPr>
                <w:rFonts w:ascii="Times New Roman" w:hAnsi="Times New Roman" w:cs="Times New Roman"/>
                <w:color w:val="000000" w:themeColor="text1"/>
                <w:w w:val="95"/>
                <w:sz w:val="24"/>
                <w:szCs w:val="24"/>
                <w:lang w:val="id-ID"/>
              </w:rPr>
            </w:pPr>
            <w:r w:rsidRPr="005C446D">
              <w:rPr>
                <w:rFonts w:ascii="Times New Roman" w:hAnsi="Times New Roman" w:cs="Times New Roman"/>
                <w:color w:val="000000" w:themeColor="text1"/>
                <w:w w:val="95"/>
                <w:sz w:val="24"/>
                <w:szCs w:val="24"/>
                <w:lang w:val="id-ID"/>
              </w:rPr>
              <w:t>13.04%</w:t>
            </w:r>
          </w:p>
        </w:tc>
        <w:tc>
          <w:tcPr>
            <w:tcW w:w="2397" w:type="dxa"/>
            <w:tcBorders>
              <w:top w:val="nil"/>
              <w:left w:val="nil"/>
              <w:bottom w:val="single" w:sz="4" w:space="0" w:color="auto"/>
              <w:right w:val="single" w:sz="4" w:space="0" w:color="auto"/>
            </w:tcBorders>
            <w:noWrap/>
            <w:vAlign w:val="center"/>
          </w:tcPr>
          <w:p w14:paraId="0A0F0A2D" w14:textId="77777777" w:rsidR="00AC74A0" w:rsidRPr="005C446D" w:rsidRDefault="00AC74A0" w:rsidP="00A45ABF">
            <w:pPr>
              <w:ind w:right="135"/>
              <w:jc w:val="right"/>
              <w:rPr>
                <w:rFonts w:ascii="Times New Roman" w:hAnsi="Times New Roman" w:cs="Times New Roman"/>
                <w:color w:val="000000" w:themeColor="text1"/>
                <w:w w:val="95"/>
                <w:sz w:val="24"/>
                <w:szCs w:val="24"/>
                <w:lang w:val="id-ID"/>
              </w:rPr>
            </w:pPr>
            <w:r w:rsidRPr="005C446D">
              <w:rPr>
                <w:rFonts w:ascii="Times New Roman" w:hAnsi="Times New Roman" w:cs="Times New Roman"/>
                <w:color w:val="000000" w:themeColor="text1"/>
                <w:w w:val="95"/>
                <w:sz w:val="24"/>
                <w:szCs w:val="24"/>
                <w:lang w:val="id-ID"/>
              </w:rPr>
              <w:t>5.638.053.208,18</w:t>
            </w:r>
          </w:p>
        </w:tc>
      </w:tr>
      <w:tr w:rsidR="005C446D" w:rsidRPr="005C446D" w14:paraId="2055DBB0" w14:textId="77777777" w:rsidTr="005C14D1">
        <w:trPr>
          <w:trHeight w:val="336"/>
        </w:trPr>
        <w:tc>
          <w:tcPr>
            <w:tcW w:w="2823" w:type="dxa"/>
            <w:tcBorders>
              <w:top w:val="nil"/>
              <w:left w:val="single" w:sz="4" w:space="0" w:color="auto"/>
              <w:bottom w:val="single" w:sz="4" w:space="0" w:color="auto"/>
              <w:right w:val="single" w:sz="4" w:space="0" w:color="auto"/>
            </w:tcBorders>
            <w:noWrap/>
            <w:vAlign w:val="center"/>
            <w:hideMark/>
          </w:tcPr>
          <w:p w14:paraId="4CB45A7C" w14:textId="77777777" w:rsidR="00AC74A0" w:rsidRPr="005C446D" w:rsidRDefault="00AC74A0" w:rsidP="00A45ABF">
            <w:pPr>
              <w:ind w:left="142"/>
              <w:rPr>
                <w:rFonts w:ascii="Times New Roman" w:hAnsi="Times New Roman" w:cs="Times New Roman"/>
                <w:b/>
                <w:color w:val="000000" w:themeColor="text1"/>
                <w:w w:val="95"/>
                <w:sz w:val="24"/>
                <w:szCs w:val="24"/>
              </w:rPr>
            </w:pPr>
            <w:r w:rsidRPr="005C446D">
              <w:rPr>
                <w:rFonts w:ascii="Times New Roman" w:hAnsi="Times New Roman" w:cs="Times New Roman"/>
                <w:b/>
                <w:color w:val="000000" w:themeColor="text1"/>
                <w:w w:val="95"/>
                <w:sz w:val="24"/>
                <w:szCs w:val="24"/>
              </w:rPr>
              <w:t>Inpatient</w:t>
            </w:r>
          </w:p>
        </w:tc>
        <w:tc>
          <w:tcPr>
            <w:tcW w:w="1984" w:type="dxa"/>
            <w:tcBorders>
              <w:top w:val="single" w:sz="4" w:space="0" w:color="auto"/>
              <w:left w:val="nil"/>
              <w:bottom w:val="single" w:sz="4" w:space="0" w:color="auto"/>
              <w:right w:val="single" w:sz="4" w:space="0" w:color="auto"/>
            </w:tcBorders>
            <w:noWrap/>
            <w:vAlign w:val="center"/>
          </w:tcPr>
          <w:p w14:paraId="3E00223C"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22.176.373.342</w:t>
            </w:r>
          </w:p>
        </w:tc>
        <w:tc>
          <w:tcPr>
            <w:tcW w:w="1560" w:type="dxa"/>
            <w:tcBorders>
              <w:top w:val="single" w:sz="4" w:space="0" w:color="auto"/>
              <w:left w:val="nil"/>
              <w:bottom w:val="single" w:sz="4" w:space="0" w:color="auto"/>
              <w:right w:val="single" w:sz="4" w:space="0" w:color="auto"/>
            </w:tcBorders>
            <w:noWrap/>
            <w:vAlign w:val="center"/>
          </w:tcPr>
          <w:p w14:paraId="262E33D0" w14:textId="77777777" w:rsidR="00AC74A0" w:rsidRPr="005C446D" w:rsidRDefault="00AC74A0" w:rsidP="00A45ABF">
            <w:pPr>
              <w:ind w:right="129"/>
              <w:jc w:val="right"/>
              <w:rPr>
                <w:rFonts w:ascii="Times New Roman" w:hAnsi="Times New Roman" w:cs="Times New Roman"/>
                <w:color w:val="000000" w:themeColor="text1"/>
                <w:w w:val="95"/>
                <w:sz w:val="24"/>
                <w:szCs w:val="24"/>
                <w:lang w:val="id-ID"/>
              </w:rPr>
            </w:pPr>
            <w:r w:rsidRPr="005C446D">
              <w:rPr>
                <w:rFonts w:ascii="Times New Roman" w:hAnsi="Times New Roman" w:cs="Times New Roman"/>
                <w:color w:val="000000" w:themeColor="text1"/>
                <w:w w:val="95"/>
                <w:sz w:val="24"/>
                <w:szCs w:val="24"/>
                <w:lang w:val="id-ID"/>
              </w:rPr>
              <w:t>29.80%</w:t>
            </w:r>
          </w:p>
        </w:tc>
        <w:tc>
          <w:tcPr>
            <w:tcW w:w="2397" w:type="dxa"/>
            <w:tcBorders>
              <w:top w:val="nil"/>
              <w:left w:val="nil"/>
              <w:bottom w:val="single" w:sz="4" w:space="0" w:color="auto"/>
              <w:right w:val="single" w:sz="4" w:space="0" w:color="auto"/>
            </w:tcBorders>
            <w:noWrap/>
            <w:vAlign w:val="center"/>
          </w:tcPr>
          <w:p w14:paraId="55866823" w14:textId="77777777" w:rsidR="00AC74A0" w:rsidRPr="005C446D" w:rsidRDefault="00AC74A0" w:rsidP="00A45ABF">
            <w:pPr>
              <w:ind w:right="135"/>
              <w:jc w:val="right"/>
              <w:rPr>
                <w:rFonts w:ascii="Times New Roman" w:hAnsi="Times New Roman" w:cs="Times New Roman"/>
                <w:color w:val="000000" w:themeColor="text1"/>
                <w:w w:val="95"/>
                <w:sz w:val="24"/>
                <w:szCs w:val="24"/>
                <w:lang w:val="id-ID"/>
              </w:rPr>
            </w:pPr>
            <w:r w:rsidRPr="005C446D">
              <w:rPr>
                <w:rFonts w:ascii="Times New Roman" w:hAnsi="Times New Roman" w:cs="Times New Roman"/>
                <w:color w:val="000000" w:themeColor="text1"/>
                <w:w w:val="95"/>
                <w:sz w:val="24"/>
                <w:szCs w:val="24"/>
                <w:lang w:val="id-ID"/>
              </w:rPr>
              <w:t>12.882.681.458,36</w:t>
            </w:r>
          </w:p>
        </w:tc>
      </w:tr>
      <w:tr w:rsidR="005C446D" w:rsidRPr="005C446D" w14:paraId="2A55037F" w14:textId="77777777" w:rsidTr="005C14D1">
        <w:trPr>
          <w:trHeight w:val="335"/>
        </w:trPr>
        <w:tc>
          <w:tcPr>
            <w:tcW w:w="2823" w:type="dxa"/>
            <w:tcBorders>
              <w:top w:val="nil"/>
              <w:left w:val="single" w:sz="4" w:space="0" w:color="auto"/>
              <w:bottom w:val="single" w:sz="4" w:space="0" w:color="auto"/>
              <w:right w:val="single" w:sz="4" w:space="0" w:color="auto"/>
            </w:tcBorders>
            <w:noWrap/>
            <w:vAlign w:val="center"/>
            <w:hideMark/>
          </w:tcPr>
          <w:p w14:paraId="18D9A1AB" w14:textId="77777777" w:rsidR="00AC74A0" w:rsidRPr="005C446D" w:rsidRDefault="00AC74A0" w:rsidP="00A45ABF">
            <w:pPr>
              <w:ind w:left="142"/>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Central Surgical Installation</w:t>
            </w:r>
          </w:p>
        </w:tc>
        <w:tc>
          <w:tcPr>
            <w:tcW w:w="1984" w:type="dxa"/>
            <w:tcBorders>
              <w:top w:val="single" w:sz="4" w:space="0" w:color="auto"/>
              <w:left w:val="nil"/>
              <w:bottom w:val="single" w:sz="4" w:space="0" w:color="auto"/>
              <w:right w:val="single" w:sz="4" w:space="0" w:color="auto"/>
            </w:tcBorders>
            <w:noWrap/>
            <w:vAlign w:val="center"/>
          </w:tcPr>
          <w:p w14:paraId="701BCF78"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12.084.071.374</w:t>
            </w:r>
          </w:p>
        </w:tc>
        <w:tc>
          <w:tcPr>
            <w:tcW w:w="1560" w:type="dxa"/>
            <w:tcBorders>
              <w:top w:val="single" w:sz="4" w:space="0" w:color="auto"/>
              <w:left w:val="nil"/>
              <w:bottom w:val="single" w:sz="4" w:space="0" w:color="auto"/>
              <w:right w:val="single" w:sz="4" w:space="0" w:color="auto"/>
            </w:tcBorders>
            <w:noWrap/>
            <w:vAlign w:val="center"/>
          </w:tcPr>
          <w:p w14:paraId="75F33131" w14:textId="77777777" w:rsidR="00AC74A0" w:rsidRPr="005C446D" w:rsidRDefault="00AC74A0" w:rsidP="00A45ABF">
            <w:pPr>
              <w:ind w:right="129"/>
              <w:jc w:val="right"/>
              <w:rPr>
                <w:rFonts w:ascii="Times New Roman" w:hAnsi="Times New Roman" w:cs="Times New Roman"/>
                <w:color w:val="000000" w:themeColor="text1"/>
                <w:w w:val="95"/>
                <w:sz w:val="24"/>
                <w:szCs w:val="24"/>
                <w:lang w:val="id-ID"/>
              </w:rPr>
            </w:pPr>
            <w:r w:rsidRPr="005C446D">
              <w:rPr>
                <w:rFonts w:ascii="Times New Roman" w:hAnsi="Times New Roman" w:cs="Times New Roman"/>
                <w:color w:val="000000" w:themeColor="text1"/>
                <w:w w:val="95"/>
                <w:sz w:val="24"/>
                <w:szCs w:val="24"/>
                <w:lang w:val="id-ID"/>
              </w:rPr>
              <w:t>16.24%</w:t>
            </w:r>
          </w:p>
        </w:tc>
        <w:tc>
          <w:tcPr>
            <w:tcW w:w="2397" w:type="dxa"/>
            <w:tcBorders>
              <w:top w:val="nil"/>
              <w:left w:val="nil"/>
              <w:bottom w:val="single" w:sz="4" w:space="0" w:color="auto"/>
              <w:right w:val="single" w:sz="4" w:space="0" w:color="auto"/>
            </w:tcBorders>
            <w:noWrap/>
            <w:vAlign w:val="center"/>
          </w:tcPr>
          <w:p w14:paraId="0DB315B9" w14:textId="77777777" w:rsidR="00AC74A0" w:rsidRPr="005C446D" w:rsidRDefault="00AC74A0" w:rsidP="00A45ABF">
            <w:pPr>
              <w:ind w:right="135"/>
              <w:jc w:val="right"/>
              <w:rPr>
                <w:rFonts w:ascii="Times New Roman" w:hAnsi="Times New Roman" w:cs="Times New Roman"/>
                <w:color w:val="000000" w:themeColor="text1"/>
                <w:w w:val="95"/>
                <w:sz w:val="24"/>
                <w:szCs w:val="24"/>
                <w:lang w:val="id-ID"/>
              </w:rPr>
            </w:pPr>
            <w:r w:rsidRPr="005C446D">
              <w:rPr>
                <w:rFonts w:ascii="Times New Roman" w:hAnsi="Times New Roman" w:cs="Times New Roman"/>
                <w:color w:val="000000" w:themeColor="text1"/>
                <w:w w:val="95"/>
                <w:sz w:val="24"/>
                <w:szCs w:val="24"/>
                <w:lang w:val="id-ID"/>
              </w:rPr>
              <w:t>7.019.869.291,89</w:t>
            </w:r>
          </w:p>
        </w:tc>
      </w:tr>
      <w:tr w:rsidR="005C446D" w:rsidRPr="005C446D" w14:paraId="49C498BD" w14:textId="77777777" w:rsidTr="005C14D1">
        <w:trPr>
          <w:trHeight w:val="349"/>
        </w:trPr>
        <w:tc>
          <w:tcPr>
            <w:tcW w:w="2823" w:type="dxa"/>
            <w:tcBorders>
              <w:top w:val="nil"/>
              <w:left w:val="single" w:sz="4" w:space="0" w:color="auto"/>
              <w:bottom w:val="single" w:sz="4" w:space="0" w:color="auto"/>
              <w:right w:val="single" w:sz="4" w:space="0" w:color="auto"/>
            </w:tcBorders>
            <w:noWrap/>
            <w:vAlign w:val="center"/>
            <w:hideMark/>
          </w:tcPr>
          <w:p w14:paraId="1A73D5D6" w14:textId="77777777" w:rsidR="00AC74A0" w:rsidRPr="005C446D" w:rsidRDefault="00AC74A0" w:rsidP="00A45ABF">
            <w:pPr>
              <w:ind w:left="142"/>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Hemodialysis</w:t>
            </w:r>
          </w:p>
        </w:tc>
        <w:tc>
          <w:tcPr>
            <w:tcW w:w="1984" w:type="dxa"/>
            <w:tcBorders>
              <w:top w:val="single" w:sz="4" w:space="0" w:color="auto"/>
              <w:left w:val="nil"/>
              <w:bottom w:val="single" w:sz="4" w:space="0" w:color="auto"/>
              <w:right w:val="single" w:sz="4" w:space="0" w:color="auto"/>
            </w:tcBorders>
            <w:noWrap/>
            <w:vAlign w:val="center"/>
          </w:tcPr>
          <w:p w14:paraId="68DF3D25"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8.946.097.333</w:t>
            </w:r>
          </w:p>
        </w:tc>
        <w:tc>
          <w:tcPr>
            <w:tcW w:w="1560" w:type="dxa"/>
            <w:tcBorders>
              <w:top w:val="single" w:sz="4" w:space="0" w:color="auto"/>
              <w:left w:val="nil"/>
              <w:bottom w:val="single" w:sz="4" w:space="0" w:color="auto"/>
              <w:right w:val="single" w:sz="4" w:space="0" w:color="auto"/>
            </w:tcBorders>
            <w:noWrap/>
          </w:tcPr>
          <w:p w14:paraId="57399C71" w14:textId="77777777" w:rsidR="00AC74A0" w:rsidRPr="005C446D" w:rsidRDefault="00AC74A0" w:rsidP="00A45ABF">
            <w:pPr>
              <w:ind w:right="129"/>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12.02%</w:t>
            </w:r>
          </w:p>
        </w:tc>
        <w:tc>
          <w:tcPr>
            <w:tcW w:w="2397" w:type="dxa"/>
            <w:tcBorders>
              <w:top w:val="nil"/>
              <w:left w:val="nil"/>
              <w:bottom w:val="single" w:sz="4" w:space="0" w:color="auto"/>
              <w:right w:val="single" w:sz="4" w:space="0" w:color="auto"/>
            </w:tcBorders>
            <w:noWrap/>
            <w:vAlign w:val="center"/>
          </w:tcPr>
          <w:p w14:paraId="58337962" w14:textId="77777777" w:rsidR="00AC74A0" w:rsidRPr="005C446D" w:rsidRDefault="00AC74A0" w:rsidP="00A45ABF">
            <w:pPr>
              <w:ind w:right="135"/>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 xml:space="preserve"> 5.196.959.866,33 </w:t>
            </w:r>
          </w:p>
        </w:tc>
      </w:tr>
      <w:tr w:rsidR="005C446D" w:rsidRPr="005C446D" w14:paraId="5B23BBC7" w14:textId="77777777" w:rsidTr="005C14D1">
        <w:trPr>
          <w:trHeight w:val="349"/>
        </w:trPr>
        <w:tc>
          <w:tcPr>
            <w:tcW w:w="2823" w:type="dxa"/>
            <w:tcBorders>
              <w:top w:val="nil"/>
              <w:left w:val="single" w:sz="4" w:space="0" w:color="auto"/>
              <w:bottom w:val="single" w:sz="4" w:space="0" w:color="auto"/>
              <w:right w:val="single" w:sz="4" w:space="0" w:color="auto"/>
            </w:tcBorders>
            <w:noWrap/>
            <w:vAlign w:val="center"/>
          </w:tcPr>
          <w:p w14:paraId="16247955" w14:textId="77777777" w:rsidR="00AC74A0" w:rsidRPr="005C446D" w:rsidRDefault="00AC74A0" w:rsidP="00A45ABF">
            <w:pPr>
              <w:ind w:left="142"/>
              <w:rPr>
                <w:rFonts w:ascii="Times New Roman" w:hAnsi="Times New Roman" w:cs="Times New Roman"/>
                <w:color w:val="000000" w:themeColor="text1"/>
                <w:w w:val="95"/>
                <w:sz w:val="24"/>
                <w:szCs w:val="24"/>
              </w:rPr>
            </w:pPr>
            <w:proofErr w:type="spellStart"/>
            <w:r w:rsidRPr="005C446D">
              <w:rPr>
                <w:rFonts w:ascii="Times New Roman" w:hAnsi="Times New Roman" w:cs="Times New Roman"/>
                <w:color w:val="000000" w:themeColor="text1"/>
                <w:w w:val="95"/>
                <w:sz w:val="24"/>
                <w:szCs w:val="24"/>
              </w:rPr>
              <w:t>Electromedics</w:t>
            </w:r>
            <w:proofErr w:type="spellEnd"/>
          </w:p>
        </w:tc>
        <w:tc>
          <w:tcPr>
            <w:tcW w:w="1984" w:type="dxa"/>
            <w:tcBorders>
              <w:top w:val="single" w:sz="4" w:space="0" w:color="auto"/>
              <w:left w:val="nil"/>
              <w:bottom w:val="single" w:sz="4" w:space="0" w:color="auto"/>
              <w:right w:val="single" w:sz="4" w:space="0" w:color="auto"/>
            </w:tcBorders>
            <w:noWrap/>
            <w:vAlign w:val="center"/>
          </w:tcPr>
          <w:p w14:paraId="104F7039"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642.512.333</w:t>
            </w:r>
          </w:p>
        </w:tc>
        <w:tc>
          <w:tcPr>
            <w:tcW w:w="1560" w:type="dxa"/>
            <w:tcBorders>
              <w:top w:val="single" w:sz="4" w:space="0" w:color="auto"/>
              <w:left w:val="nil"/>
              <w:bottom w:val="single" w:sz="4" w:space="0" w:color="auto"/>
              <w:right w:val="single" w:sz="4" w:space="0" w:color="auto"/>
            </w:tcBorders>
            <w:noWrap/>
          </w:tcPr>
          <w:p w14:paraId="5290F2FA" w14:textId="77777777" w:rsidR="00AC74A0" w:rsidRPr="005C446D" w:rsidRDefault="00AC74A0" w:rsidP="00A45ABF">
            <w:pPr>
              <w:ind w:right="129"/>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0.86%</w:t>
            </w:r>
          </w:p>
        </w:tc>
        <w:tc>
          <w:tcPr>
            <w:tcW w:w="2397" w:type="dxa"/>
            <w:tcBorders>
              <w:top w:val="nil"/>
              <w:left w:val="nil"/>
              <w:bottom w:val="single" w:sz="4" w:space="0" w:color="auto"/>
              <w:right w:val="single" w:sz="4" w:space="0" w:color="auto"/>
            </w:tcBorders>
            <w:noWrap/>
            <w:vAlign w:val="center"/>
          </w:tcPr>
          <w:p w14:paraId="1DC64A79" w14:textId="77777777" w:rsidR="00AC74A0" w:rsidRPr="005C446D" w:rsidRDefault="00AC74A0" w:rsidP="00A45ABF">
            <w:pPr>
              <w:ind w:right="135"/>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 xml:space="preserve"> 373.247.762,18 </w:t>
            </w:r>
          </w:p>
        </w:tc>
      </w:tr>
      <w:tr w:rsidR="005C446D" w:rsidRPr="005C446D" w14:paraId="3BBF7357" w14:textId="77777777" w:rsidTr="005C14D1">
        <w:trPr>
          <w:trHeight w:val="349"/>
        </w:trPr>
        <w:tc>
          <w:tcPr>
            <w:tcW w:w="2823" w:type="dxa"/>
            <w:tcBorders>
              <w:top w:val="nil"/>
              <w:left w:val="single" w:sz="4" w:space="0" w:color="auto"/>
              <w:bottom w:val="single" w:sz="4" w:space="0" w:color="auto"/>
              <w:right w:val="single" w:sz="4" w:space="0" w:color="auto"/>
            </w:tcBorders>
            <w:noWrap/>
            <w:vAlign w:val="center"/>
          </w:tcPr>
          <w:p w14:paraId="04E7A780" w14:textId="77777777" w:rsidR="00AC74A0" w:rsidRPr="005C446D" w:rsidRDefault="00AC74A0" w:rsidP="00A45ABF">
            <w:pPr>
              <w:ind w:left="142"/>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Pharmacy</w:t>
            </w:r>
          </w:p>
        </w:tc>
        <w:tc>
          <w:tcPr>
            <w:tcW w:w="1984" w:type="dxa"/>
            <w:tcBorders>
              <w:top w:val="single" w:sz="4" w:space="0" w:color="auto"/>
              <w:left w:val="nil"/>
              <w:bottom w:val="single" w:sz="4" w:space="0" w:color="auto"/>
              <w:right w:val="single" w:sz="4" w:space="0" w:color="auto"/>
            </w:tcBorders>
            <w:noWrap/>
            <w:vAlign w:val="center"/>
          </w:tcPr>
          <w:p w14:paraId="461183AF"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1.602.333.333</w:t>
            </w:r>
          </w:p>
        </w:tc>
        <w:tc>
          <w:tcPr>
            <w:tcW w:w="1560" w:type="dxa"/>
            <w:tcBorders>
              <w:top w:val="single" w:sz="4" w:space="0" w:color="auto"/>
              <w:left w:val="nil"/>
              <w:bottom w:val="single" w:sz="4" w:space="0" w:color="auto"/>
              <w:right w:val="single" w:sz="4" w:space="0" w:color="auto"/>
            </w:tcBorders>
            <w:noWrap/>
          </w:tcPr>
          <w:p w14:paraId="28F5B488" w14:textId="77777777" w:rsidR="00AC74A0" w:rsidRPr="005C446D" w:rsidRDefault="00AC74A0" w:rsidP="00A45ABF">
            <w:pPr>
              <w:ind w:right="129"/>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2.15%</w:t>
            </w:r>
          </w:p>
        </w:tc>
        <w:tc>
          <w:tcPr>
            <w:tcW w:w="2397" w:type="dxa"/>
            <w:tcBorders>
              <w:top w:val="nil"/>
              <w:left w:val="nil"/>
              <w:bottom w:val="single" w:sz="4" w:space="0" w:color="auto"/>
              <w:right w:val="single" w:sz="4" w:space="0" w:color="auto"/>
            </w:tcBorders>
            <w:noWrap/>
            <w:vAlign w:val="center"/>
          </w:tcPr>
          <w:p w14:paraId="751B84B8" w14:textId="77777777" w:rsidR="00AC74A0" w:rsidRPr="005C446D" w:rsidRDefault="00AC74A0" w:rsidP="00A45ABF">
            <w:pPr>
              <w:ind w:right="135"/>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 xml:space="preserve"> 930.826.226,85 </w:t>
            </w:r>
          </w:p>
        </w:tc>
      </w:tr>
      <w:tr w:rsidR="005C446D" w:rsidRPr="005C446D" w14:paraId="49F20EB8" w14:textId="77777777" w:rsidTr="005C14D1">
        <w:trPr>
          <w:trHeight w:val="349"/>
        </w:trPr>
        <w:tc>
          <w:tcPr>
            <w:tcW w:w="2823" w:type="dxa"/>
            <w:tcBorders>
              <w:top w:val="nil"/>
              <w:left w:val="single" w:sz="4" w:space="0" w:color="auto"/>
              <w:bottom w:val="single" w:sz="4" w:space="0" w:color="auto"/>
              <w:right w:val="single" w:sz="4" w:space="0" w:color="auto"/>
            </w:tcBorders>
            <w:noWrap/>
            <w:vAlign w:val="center"/>
          </w:tcPr>
          <w:p w14:paraId="3AB8AB0B" w14:textId="77777777" w:rsidR="00AC74A0" w:rsidRPr="005C446D" w:rsidRDefault="00AC74A0" w:rsidP="00A45ABF">
            <w:pPr>
              <w:ind w:left="142"/>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Laboratory</w:t>
            </w:r>
          </w:p>
        </w:tc>
        <w:tc>
          <w:tcPr>
            <w:tcW w:w="1984" w:type="dxa"/>
            <w:tcBorders>
              <w:top w:val="single" w:sz="4" w:space="0" w:color="auto"/>
              <w:left w:val="nil"/>
              <w:bottom w:val="single" w:sz="4" w:space="0" w:color="auto"/>
              <w:right w:val="single" w:sz="4" w:space="0" w:color="auto"/>
            </w:tcBorders>
            <w:noWrap/>
            <w:vAlign w:val="center"/>
          </w:tcPr>
          <w:p w14:paraId="5986A80D"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11.769.413.703</w:t>
            </w:r>
          </w:p>
        </w:tc>
        <w:tc>
          <w:tcPr>
            <w:tcW w:w="1560" w:type="dxa"/>
            <w:tcBorders>
              <w:top w:val="single" w:sz="4" w:space="0" w:color="auto"/>
              <w:left w:val="nil"/>
              <w:bottom w:val="single" w:sz="4" w:space="0" w:color="auto"/>
              <w:right w:val="single" w:sz="4" w:space="0" w:color="auto"/>
            </w:tcBorders>
            <w:noWrap/>
          </w:tcPr>
          <w:p w14:paraId="1DE9D982" w14:textId="77777777" w:rsidR="00AC74A0" w:rsidRPr="005C446D" w:rsidRDefault="00AC74A0" w:rsidP="00A45ABF">
            <w:pPr>
              <w:ind w:right="129"/>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15.82%</w:t>
            </w:r>
          </w:p>
        </w:tc>
        <w:tc>
          <w:tcPr>
            <w:tcW w:w="2397" w:type="dxa"/>
            <w:tcBorders>
              <w:top w:val="nil"/>
              <w:left w:val="nil"/>
              <w:bottom w:val="single" w:sz="4" w:space="0" w:color="auto"/>
              <w:right w:val="single" w:sz="4" w:space="0" w:color="auto"/>
            </w:tcBorders>
            <w:noWrap/>
            <w:vAlign w:val="center"/>
          </w:tcPr>
          <w:p w14:paraId="2F4A2173" w14:textId="77777777" w:rsidR="00AC74A0" w:rsidRPr="005C446D" w:rsidRDefault="00AC74A0" w:rsidP="00A45ABF">
            <w:pPr>
              <w:ind w:right="135"/>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 xml:space="preserve"> 6.837.078.603,74 </w:t>
            </w:r>
          </w:p>
        </w:tc>
      </w:tr>
      <w:tr w:rsidR="005C446D" w:rsidRPr="005C446D" w14:paraId="28C1A238" w14:textId="77777777" w:rsidTr="005C14D1">
        <w:trPr>
          <w:trHeight w:val="349"/>
        </w:trPr>
        <w:tc>
          <w:tcPr>
            <w:tcW w:w="2823" w:type="dxa"/>
            <w:tcBorders>
              <w:top w:val="nil"/>
              <w:left w:val="single" w:sz="4" w:space="0" w:color="auto"/>
              <w:bottom w:val="single" w:sz="4" w:space="0" w:color="auto"/>
              <w:right w:val="single" w:sz="4" w:space="0" w:color="auto"/>
            </w:tcBorders>
            <w:noWrap/>
            <w:vAlign w:val="center"/>
          </w:tcPr>
          <w:p w14:paraId="662B8FCB" w14:textId="77777777" w:rsidR="00AC74A0" w:rsidRPr="005C446D" w:rsidRDefault="00AC74A0" w:rsidP="00A45ABF">
            <w:pPr>
              <w:ind w:left="142"/>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Radiology</w:t>
            </w:r>
          </w:p>
        </w:tc>
        <w:tc>
          <w:tcPr>
            <w:tcW w:w="1984" w:type="dxa"/>
            <w:tcBorders>
              <w:top w:val="single" w:sz="4" w:space="0" w:color="auto"/>
              <w:left w:val="nil"/>
              <w:bottom w:val="single" w:sz="4" w:space="0" w:color="auto"/>
              <w:right w:val="single" w:sz="4" w:space="0" w:color="auto"/>
            </w:tcBorders>
            <w:noWrap/>
            <w:vAlign w:val="center"/>
          </w:tcPr>
          <w:p w14:paraId="30384E9E"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2.811.378.352</w:t>
            </w:r>
          </w:p>
        </w:tc>
        <w:tc>
          <w:tcPr>
            <w:tcW w:w="1560" w:type="dxa"/>
            <w:tcBorders>
              <w:top w:val="single" w:sz="4" w:space="0" w:color="auto"/>
              <w:left w:val="nil"/>
              <w:bottom w:val="single" w:sz="4" w:space="0" w:color="auto"/>
              <w:right w:val="single" w:sz="4" w:space="0" w:color="auto"/>
            </w:tcBorders>
            <w:noWrap/>
          </w:tcPr>
          <w:p w14:paraId="7B2CBE24" w14:textId="77777777" w:rsidR="00AC74A0" w:rsidRPr="005C446D" w:rsidRDefault="00AC74A0" w:rsidP="00A45ABF">
            <w:pPr>
              <w:ind w:right="129"/>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3.78%</w:t>
            </w:r>
          </w:p>
        </w:tc>
        <w:tc>
          <w:tcPr>
            <w:tcW w:w="2397" w:type="dxa"/>
            <w:tcBorders>
              <w:top w:val="nil"/>
              <w:left w:val="nil"/>
              <w:bottom w:val="single" w:sz="4" w:space="0" w:color="auto"/>
              <w:right w:val="single" w:sz="4" w:space="0" w:color="auto"/>
            </w:tcBorders>
            <w:noWrap/>
            <w:vAlign w:val="center"/>
          </w:tcPr>
          <w:p w14:paraId="7E875480" w14:textId="77777777" w:rsidR="00AC74A0" w:rsidRPr="005C446D" w:rsidRDefault="00AC74A0" w:rsidP="00A45ABF">
            <w:pPr>
              <w:ind w:right="135"/>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 xml:space="preserve"> 1.633.183.713,33 </w:t>
            </w:r>
          </w:p>
        </w:tc>
      </w:tr>
      <w:tr w:rsidR="005C446D" w:rsidRPr="005C446D" w14:paraId="5101ED99" w14:textId="77777777" w:rsidTr="005C14D1">
        <w:trPr>
          <w:trHeight w:val="349"/>
        </w:trPr>
        <w:tc>
          <w:tcPr>
            <w:tcW w:w="2823" w:type="dxa"/>
            <w:tcBorders>
              <w:top w:val="nil"/>
              <w:left w:val="single" w:sz="4" w:space="0" w:color="auto"/>
              <w:bottom w:val="single" w:sz="4" w:space="0" w:color="auto"/>
              <w:right w:val="single" w:sz="4" w:space="0" w:color="auto"/>
            </w:tcBorders>
            <w:noWrap/>
            <w:vAlign w:val="center"/>
          </w:tcPr>
          <w:p w14:paraId="27791197" w14:textId="77777777" w:rsidR="00AC74A0" w:rsidRPr="005C446D" w:rsidRDefault="00AC74A0" w:rsidP="00A45ABF">
            <w:pPr>
              <w:ind w:left="142"/>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Nutrition</w:t>
            </w:r>
          </w:p>
        </w:tc>
        <w:tc>
          <w:tcPr>
            <w:tcW w:w="1984" w:type="dxa"/>
            <w:tcBorders>
              <w:top w:val="single" w:sz="4" w:space="0" w:color="auto"/>
              <w:left w:val="nil"/>
              <w:bottom w:val="single" w:sz="4" w:space="0" w:color="auto"/>
              <w:right w:val="single" w:sz="4" w:space="0" w:color="auto"/>
            </w:tcBorders>
            <w:noWrap/>
            <w:vAlign w:val="center"/>
          </w:tcPr>
          <w:p w14:paraId="6AA4A020"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1.567.103.667</w:t>
            </w:r>
          </w:p>
        </w:tc>
        <w:tc>
          <w:tcPr>
            <w:tcW w:w="1560" w:type="dxa"/>
            <w:tcBorders>
              <w:top w:val="single" w:sz="4" w:space="0" w:color="auto"/>
              <w:left w:val="nil"/>
              <w:bottom w:val="single" w:sz="4" w:space="0" w:color="auto"/>
              <w:right w:val="single" w:sz="4" w:space="0" w:color="auto"/>
            </w:tcBorders>
            <w:noWrap/>
          </w:tcPr>
          <w:p w14:paraId="489FD666" w14:textId="77777777" w:rsidR="00AC74A0" w:rsidRPr="005C446D" w:rsidRDefault="00AC74A0" w:rsidP="00A45ABF">
            <w:pPr>
              <w:ind w:right="129"/>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2.11%</w:t>
            </w:r>
          </w:p>
        </w:tc>
        <w:tc>
          <w:tcPr>
            <w:tcW w:w="2397" w:type="dxa"/>
            <w:tcBorders>
              <w:top w:val="nil"/>
              <w:left w:val="nil"/>
              <w:bottom w:val="single" w:sz="4" w:space="0" w:color="auto"/>
              <w:right w:val="single" w:sz="4" w:space="0" w:color="auto"/>
            </w:tcBorders>
            <w:noWrap/>
            <w:vAlign w:val="center"/>
          </w:tcPr>
          <w:p w14:paraId="36F0DAAD" w14:textId="77777777" w:rsidR="00AC74A0" w:rsidRPr="005C446D" w:rsidRDefault="00AC74A0" w:rsidP="00A45ABF">
            <w:pPr>
              <w:ind w:right="135"/>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 xml:space="preserve"> 910.360.636,44 </w:t>
            </w:r>
          </w:p>
        </w:tc>
      </w:tr>
      <w:tr w:rsidR="005C446D" w:rsidRPr="005C446D" w14:paraId="2B51C1CA" w14:textId="77777777" w:rsidTr="005C14D1">
        <w:trPr>
          <w:trHeight w:val="349"/>
        </w:trPr>
        <w:tc>
          <w:tcPr>
            <w:tcW w:w="2823" w:type="dxa"/>
            <w:tcBorders>
              <w:top w:val="nil"/>
              <w:left w:val="single" w:sz="4" w:space="0" w:color="auto"/>
              <w:bottom w:val="single" w:sz="4" w:space="0" w:color="auto"/>
              <w:right w:val="single" w:sz="4" w:space="0" w:color="auto"/>
            </w:tcBorders>
            <w:noWrap/>
            <w:vAlign w:val="center"/>
          </w:tcPr>
          <w:p w14:paraId="5204DCC0" w14:textId="77777777" w:rsidR="00AC74A0" w:rsidRPr="005C446D" w:rsidRDefault="00AC74A0" w:rsidP="00A45ABF">
            <w:pPr>
              <w:ind w:left="142"/>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Medical records</w:t>
            </w:r>
          </w:p>
        </w:tc>
        <w:tc>
          <w:tcPr>
            <w:tcW w:w="1984" w:type="dxa"/>
            <w:tcBorders>
              <w:top w:val="single" w:sz="4" w:space="0" w:color="auto"/>
              <w:left w:val="nil"/>
              <w:bottom w:val="single" w:sz="4" w:space="0" w:color="auto"/>
              <w:right w:val="single" w:sz="4" w:space="0" w:color="auto"/>
            </w:tcBorders>
            <w:noWrap/>
            <w:vAlign w:val="center"/>
          </w:tcPr>
          <w:p w14:paraId="1F95873F"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422.657.000</w:t>
            </w:r>
          </w:p>
        </w:tc>
        <w:tc>
          <w:tcPr>
            <w:tcW w:w="1560" w:type="dxa"/>
            <w:tcBorders>
              <w:top w:val="single" w:sz="4" w:space="0" w:color="auto"/>
              <w:left w:val="nil"/>
              <w:bottom w:val="single" w:sz="4" w:space="0" w:color="auto"/>
              <w:right w:val="single" w:sz="4" w:space="0" w:color="auto"/>
            </w:tcBorders>
            <w:noWrap/>
          </w:tcPr>
          <w:p w14:paraId="46723907" w14:textId="77777777" w:rsidR="00AC74A0" w:rsidRPr="005C446D" w:rsidRDefault="00AC74A0" w:rsidP="00A45ABF">
            <w:pPr>
              <w:ind w:right="129"/>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0.57%</w:t>
            </w:r>
          </w:p>
        </w:tc>
        <w:tc>
          <w:tcPr>
            <w:tcW w:w="2397" w:type="dxa"/>
            <w:tcBorders>
              <w:top w:val="nil"/>
              <w:left w:val="nil"/>
              <w:bottom w:val="single" w:sz="4" w:space="0" w:color="auto"/>
              <w:right w:val="single" w:sz="4" w:space="0" w:color="auto"/>
            </w:tcBorders>
            <w:noWrap/>
            <w:vAlign w:val="center"/>
          </w:tcPr>
          <w:p w14:paraId="2702A3C7" w14:textId="77777777" w:rsidR="00AC74A0" w:rsidRPr="005C446D" w:rsidRDefault="00AC74A0" w:rsidP="00A45ABF">
            <w:pPr>
              <w:ind w:right="135"/>
              <w:jc w:val="right"/>
              <w:rPr>
                <w:rFonts w:ascii="Times New Roman" w:hAnsi="Times New Roman" w:cs="Times New Roman"/>
                <w:color w:val="000000" w:themeColor="text1"/>
                <w:w w:val="95"/>
                <w:sz w:val="24"/>
                <w:szCs w:val="24"/>
              </w:rPr>
            </w:pPr>
            <w:r w:rsidRPr="005C446D">
              <w:rPr>
                <w:rFonts w:ascii="Times New Roman" w:hAnsi="Times New Roman" w:cs="Times New Roman"/>
                <w:color w:val="000000" w:themeColor="text1"/>
                <w:w w:val="95"/>
                <w:sz w:val="24"/>
                <w:szCs w:val="24"/>
              </w:rPr>
              <w:t xml:space="preserve"> 245.529.573,89 </w:t>
            </w:r>
          </w:p>
        </w:tc>
      </w:tr>
      <w:tr w:rsidR="005C446D" w:rsidRPr="005C446D" w14:paraId="4451E61D" w14:textId="77777777" w:rsidTr="005C14D1">
        <w:trPr>
          <w:trHeight w:val="307"/>
        </w:trPr>
        <w:tc>
          <w:tcPr>
            <w:tcW w:w="2823" w:type="dxa"/>
            <w:tcBorders>
              <w:top w:val="nil"/>
              <w:left w:val="single" w:sz="4" w:space="0" w:color="auto"/>
              <w:bottom w:val="single" w:sz="4" w:space="0" w:color="auto"/>
              <w:right w:val="single" w:sz="4" w:space="0" w:color="auto"/>
            </w:tcBorders>
            <w:noWrap/>
            <w:vAlign w:val="bottom"/>
            <w:hideMark/>
          </w:tcPr>
          <w:p w14:paraId="7A843A92" w14:textId="77777777" w:rsidR="00AC74A0" w:rsidRPr="005C446D" w:rsidRDefault="00AC74A0" w:rsidP="00A45ABF">
            <w:pPr>
              <w:ind w:left="142"/>
              <w:rPr>
                <w:rFonts w:ascii="Times New Roman" w:hAnsi="Times New Roman" w:cs="Times New Roman"/>
                <w:b/>
                <w:bCs/>
                <w:color w:val="000000" w:themeColor="text1"/>
                <w:w w:val="95"/>
                <w:sz w:val="24"/>
                <w:szCs w:val="24"/>
              </w:rPr>
            </w:pPr>
            <w:r w:rsidRPr="005C446D">
              <w:rPr>
                <w:rFonts w:ascii="Times New Roman" w:hAnsi="Times New Roman" w:cs="Times New Roman"/>
                <w:b/>
                <w:bCs/>
                <w:color w:val="000000" w:themeColor="text1"/>
                <w:w w:val="95"/>
                <w:sz w:val="24"/>
                <w:szCs w:val="24"/>
              </w:rPr>
              <w:t>Total</w:t>
            </w:r>
          </w:p>
        </w:tc>
        <w:tc>
          <w:tcPr>
            <w:tcW w:w="1984" w:type="dxa"/>
            <w:tcBorders>
              <w:top w:val="single" w:sz="4" w:space="0" w:color="auto"/>
              <w:left w:val="nil"/>
              <w:bottom w:val="single" w:sz="4" w:space="0" w:color="auto"/>
              <w:right w:val="single" w:sz="4" w:space="0" w:color="auto"/>
            </w:tcBorders>
            <w:noWrap/>
            <w:vAlign w:val="center"/>
            <w:hideMark/>
          </w:tcPr>
          <w:p w14:paraId="3DC7EB39" w14:textId="77777777" w:rsidR="00AC74A0" w:rsidRPr="005C446D" w:rsidRDefault="00AC74A0" w:rsidP="00A45ABF">
            <w:pPr>
              <w:ind w:right="144"/>
              <w:jc w:val="right"/>
              <w:rPr>
                <w:rFonts w:ascii="Times New Roman" w:hAnsi="Times New Roman" w:cs="Times New Roman"/>
                <w:color w:val="000000" w:themeColor="text1"/>
                <w:w w:val="95"/>
                <w:sz w:val="24"/>
                <w:szCs w:val="24"/>
              </w:rPr>
            </w:pPr>
            <w:r w:rsidRPr="005C446D">
              <w:rPr>
                <w:rFonts w:ascii="Times New Roman" w:hAnsi="Times New Roman" w:cs="Times New Roman"/>
                <w:b/>
                <w:color w:val="000000" w:themeColor="text1"/>
                <w:w w:val="95"/>
                <w:sz w:val="24"/>
                <w:szCs w:val="24"/>
              </w:rPr>
              <w:t>74.412.501.798</w:t>
            </w:r>
            <w:r w:rsidRPr="005C446D">
              <w:rPr>
                <w:rFonts w:ascii="Times New Roman" w:hAnsi="Times New Roman" w:cs="Times New Roman"/>
                <w:color w:val="000000" w:themeColor="text1"/>
                <w:w w:val="95"/>
                <w:sz w:val="24"/>
                <w:szCs w:val="24"/>
              </w:rPr>
              <w:t xml:space="preserve"> </w:t>
            </w:r>
            <w:r w:rsidRPr="005C446D">
              <w:rPr>
                <w:rFonts w:ascii="Times New Roman" w:hAnsi="Times New Roman" w:cs="Times New Roman"/>
                <w:b/>
                <w:color w:val="000000" w:themeColor="text1"/>
                <w:w w:val="95"/>
                <w:sz w:val="24"/>
                <w:szCs w:val="24"/>
                <w:vertAlign w:val="superscript"/>
              </w:rPr>
              <w:t>(</w:t>
            </w:r>
            <w:r w:rsidRPr="005C446D">
              <w:rPr>
                <w:rFonts w:ascii="Times New Roman" w:hAnsi="Times New Roman" w:cs="Times New Roman"/>
                <w:b/>
                <w:color w:val="000000" w:themeColor="text1"/>
                <w:w w:val="95"/>
                <w:sz w:val="24"/>
                <w:szCs w:val="24"/>
                <w:vertAlign w:val="superscript"/>
                <w:lang w:val="id-ID"/>
              </w:rPr>
              <w:t>b</w:t>
            </w:r>
            <w:r w:rsidRPr="005C446D">
              <w:rPr>
                <w:rFonts w:ascii="Times New Roman" w:hAnsi="Times New Roman" w:cs="Times New Roman"/>
                <w:b/>
                <w:color w:val="000000" w:themeColor="text1"/>
                <w:w w:val="95"/>
                <w:sz w:val="24"/>
                <w:szCs w:val="24"/>
                <w:vertAlign w:val="superscript"/>
              </w:rPr>
              <w:t>)</w:t>
            </w:r>
          </w:p>
        </w:tc>
        <w:tc>
          <w:tcPr>
            <w:tcW w:w="1560" w:type="dxa"/>
            <w:tcBorders>
              <w:top w:val="single" w:sz="4" w:space="0" w:color="auto"/>
              <w:left w:val="nil"/>
              <w:bottom w:val="single" w:sz="4" w:space="0" w:color="auto"/>
              <w:right w:val="single" w:sz="4" w:space="0" w:color="auto"/>
            </w:tcBorders>
            <w:noWrap/>
            <w:hideMark/>
          </w:tcPr>
          <w:p w14:paraId="3997D109" w14:textId="77777777" w:rsidR="00AC74A0" w:rsidRPr="005C446D" w:rsidRDefault="00AC74A0" w:rsidP="00A45ABF">
            <w:pPr>
              <w:ind w:right="129"/>
              <w:jc w:val="right"/>
              <w:rPr>
                <w:rFonts w:ascii="Times New Roman" w:hAnsi="Times New Roman" w:cs="Times New Roman"/>
                <w:b/>
                <w:color w:val="000000" w:themeColor="text1"/>
                <w:w w:val="95"/>
                <w:sz w:val="24"/>
                <w:szCs w:val="24"/>
              </w:rPr>
            </w:pPr>
            <w:r w:rsidRPr="005C446D">
              <w:rPr>
                <w:rFonts w:ascii="Times New Roman" w:hAnsi="Times New Roman" w:cs="Times New Roman"/>
                <w:b/>
                <w:color w:val="000000" w:themeColor="text1"/>
                <w:w w:val="95"/>
                <w:sz w:val="24"/>
                <w:szCs w:val="24"/>
              </w:rPr>
              <w:t>100.00%</w:t>
            </w:r>
          </w:p>
        </w:tc>
        <w:tc>
          <w:tcPr>
            <w:tcW w:w="2397" w:type="dxa"/>
            <w:tcBorders>
              <w:top w:val="nil"/>
              <w:left w:val="nil"/>
              <w:bottom w:val="single" w:sz="4" w:space="0" w:color="auto"/>
              <w:right w:val="single" w:sz="4" w:space="0" w:color="auto"/>
            </w:tcBorders>
            <w:noWrap/>
            <w:vAlign w:val="center"/>
            <w:hideMark/>
          </w:tcPr>
          <w:p w14:paraId="103B0C41" w14:textId="77777777" w:rsidR="00AC74A0" w:rsidRPr="005C446D" w:rsidRDefault="00AC74A0" w:rsidP="00A45ABF">
            <w:pPr>
              <w:ind w:right="135"/>
              <w:jc w:val="right"/>
              <w:rPr>
                <w:rFonts w:ascii="Times New Roman" w:hAnsi="Times New Roman" w:cs="Times New Roman"/>
                <w:b/>
                <w:color w:val="000000" w:themeColor="text1"/>
                <w:w w:val="95"/>
                <w:sz w:val="24"/>
                <w:szCs w:val="24"/>
              </w:rPr>
            </w:pPr>
            <w:r w:rsidRPr="005C446D">
              <w:rPr>
                <w:rFonts w:ascii="Times New Roman" w:hAnsi="Times New Roman" w:cs="Times New Roman"/>
                <w:b/>
                <w:color w:val="000000" w:themeColor="text1"/>
                <w:w w:val="95"/>
                <w:sz w:val="24"/>
                <w:szCs w:val="24"/>
              </w:rPr>
              <w:t xml:space="preserve"> 43.227.652.348,05 </w:t>
            </w:r>
          </w:p>
        </w:tc>
      </w:tr>
      <w:tr w:rsidR="005C14D1" w:rsidRPr="005C446D" w14:paraId="357FB66A" w14:textId="77777777" w:rsidTr="005C14D1">
        <w:trPr>
          <w:trHeight w:val="531"/>
        </w:trPr>
        <w:tc>
          <w:tcPr>
            <w:tcW w:w="8764" w:type="dxa"/>
            <w:gridSpan w:val="4"/>
            <w:tcBorders>
              <w:top w:val="single" w:sz="4" w:space="0" w:color="auto"/>
              <w:left w:val="single" w:sz="4" w:space="0" w:color="auto"/>
              <w:bottom w:val="single" w:sz="4" w:space="0" w:color="auto"/>
              <w:right w:val="single" w:sz="4" w:space="0" w:color="auto"/>
            </w:tcBorders>
            <w:noWrap/>
            <w:vAlign w:val="bottom"/>
          </w:tcPr>
          <w:p w14:paraId="14F5D1D6" w14:textId="77777777" w:rsidR="00AC74A0" w:rsidRPr="005C446D" w:rsidRDefault="00AC74A0" w:rsidP="00AC74A0">
            <w:pPr>
              <w:jc w:val="both"/>
              <w:rPr>
                <w:rFonts w:ascii="Times New Roman" w:hAnsi="Times New Roman" w:cs="Times New Roman"/>
                <w:bCs/>
                <w:color w:val="000000" w:themeColor="text1"/>
                <w:w w:val="95"/>
                <w:sz w:val="24"/>
                <w:szCs w:val="24"/>
              </w:rPr>
            </w:pPr>
            <w:proofErr w:type="gramStart"/>
            <w:r w:rsidRPr="005C446D">
              <w:rPr>
                <w:rFonts w:ascii="Times New Roman" w:hAnsi="Times New Roman" w:cs="Times New Roman"/>
                <w:bCs/>
                <w:color w:val="000000" w:themeColor="text1"/>
                <w:w w:val="95"/>
                <w:sz w:val="24"/>
                <w:szCs w:val="24"/>
              </w:rPr>
              <w:t>Info :</w:t>
            </w:r>
            <w:proofErr w:type="gramEnd"/>
            <w:r w:rsidRPr="005C446D">
              <w:rPr>
                <w:rFonts w:ascii="Times New Roman" w:hAnsi="Times New Roman" w:cs="Times New Roman"/>
                <w:bCs/>
                <w:color w:val="000000" w:themeColor="text1"/>
                <w:w w:val="95"/>
                <w:sz w:val="24"/>
                <w:szCs w:val="24"/>
              </w:rPr>
              <w:t xml:space="preserve"> (c=</w:t>
            </w:r>
            <w:proofErr w:type="spellStart"/>
            <w:r w:rsidRPr="005C446D">
              <w:rPr>
                <w:rFonts w:ascii="Times New Roman" w:hAnsi="Times New Roman" w:cs="Times New Roman"/>
                <w:bCs/>
                <w:color w:val="000000" w:themeColor="text1"/>
                <w:w w:val="95"/>
                <w:sz w:val="24"/>
                <w:szCs w:val="24"/>
              </w:rPr>
              <w:t>a:b</w:t>
            </w:r>
            <w:proofErr w:type="spellEnd"/>
            <w:r w:rsidRPr="005C446D">
              <w:rPr>
                <w:rFonts w:ascii="Times New Roman" w:hAnsi="Times New Roman" w:cs="Times New Roman"/>
                <w:bCs/>
                <w:color w:val="000000" w:themeColor="text1"/>
                <w:w w:val="95"/>
                <w:sz w:val="24"/>
                <w:szCs w:val="24"/>
              </w:rPr>
              <w:t>*100%), (d=c*e), a=Number of  Earning, b= Number of  Earning, c=proportion (percent), d= each installation cost, e=total cost</w:t>
            </w:r>
          </w:p>
        </w:tc>
      </w:tr>
    </w:tbl>
    <w:p w14:paraId="6B8DA8DF" w14:textId="77777777" w:rsidR="00AC74A0" w:rsidRPr="005C446D" w:rsidRDefault="00AC74A0" w:rsidP="00AC74A0">
      <w:pPr>
        <w:pStyle w:val="ListParagraph"/>
        <w:spacing w:after="0" w:line="240" w:lineRule="auto"/>
        <w:ind w:left="360"/>
        <w:jc w:val="both"/>
        <w:rPr>
          <w:rFonts w:ascii="Times New Roman" w:hAnsi="Times New Roman"/>
          <w:color w:val="000000" w:themeColor="text1"/>
          <w:sz w:val="24"/>
          <w:szCs w:val="24"/>
        </w:rPr>
      </w:pPr>
    </w:p>
    <w:p w14:paraId="1595DC10" w14:textId="77777777" w:rsidR="005C14D1" w:rsidRPr="005C446D" w:rsidRDefault="005C14D1" w:rsidP="00AC74A0">
      <w:pPr>
        <w:pStyle w:val="ListParagraph"/>
        <w:spacing w:after="0" w:line="240" w:lineRule="auto"/>
        <w:ind w:left="360"/>
        <w:jc w:val="both"/>
        <w:rPr>
          <w:rFonts w:ascii="Times New Roman" w:hAnsi="Times New Roman"/>
          <w:color w:val="000000" w:themeColor="text1"/>
          <w:sz w:val="24"/>
          <w:szCs w:val="24"/>
        </w:rPr>
      </w:pPr>
    </w:p>
    <w:p w14:paraId="45D7A31E" w14:textId="77777777" w:rsidR="00AC74A0" w:rsidRPr="005C446D" w:rsidRDefault="00AC74A0" w:rsidP="00E278AB">
      <w:pPr>
        <w:pStyle w:val="ListParagraph"/>
        <w:numPr>
          <w:ilvl w:val="0"/>
          <w:numId w:val="7"/>
        </w:numPr>
        <w:spacing w:after="0" w:line="240" w:lineRule="auto"/>
        <w:ind w:left="851"/>
        <w:rPr>
          <w:rFonts w:ascii="Times New Roman" w:hAnsi="Times New Roman"/>
          <w:color w:val="000000" w:themeColor="text1"/>
          <w:sz w:val="24"/>
          <w:szCs w:val="24"/>
          <w:lang w:val="id-ID"/>
        </w:rPr>
      </w:pPr>
      <w:r w:rsidRPr="005C446D">
        <w:rPr>
          <w:rFonts w:ascii="Times New Roman" w:hAnsi="Times New Roman"/>
          <w:color w:val="000000" w:themeColor="text1"/>
          <w:sz w:val="24"/>
          <w:szCs w:val="24"/>
          <w:lang w:val="id-ID"/>
        </w:rPr>
        <w:t>IGD</w:t>
      </w:r>
    </w:p>
    <w:p w14:paraId="7C999A60" w14:textId="77777777" w:rsidR="00AC74A0" w:rsidRPr="005C446D" w:rsidRDefault="00AC74A0" w:rsidP="00E278AB">
      <w:pPr>
        <w:pStyle w:val="ListParagraph"/>
        <w:spacing w:after="0" w:line="240" w:lineRule="auto"/>
        <w:ind w:left="851"/>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Unit IGD get a charge of Rp.1.559.862.006,87. The total cost is then charged to all IGD patients. The total number of patients with IGD in 2016 is 23,711 patients, so for one patient will get the cost of indirect resource overhead cost of </w:t>
      </w:r>
      <w:proofErr w:type="spellStart"/>
      <w:r w:rsidRPr="005C446D">
        <w:rPr>
          <w:rFonts w:ascii="Times New Roman" w:hAnsi="Times New Roman"/>
          <w:color w:val="000000" w:themeColor="text1"/>
          <w:sz w:val="24"/>
          <w:szCs w:val="24"/>
        </w:rPr>
        <w:t>Rp</w:t>
      </w:r>
      <w:proofErr w:type="spellEnd"/>
      <w:r w:rsidRPr="005C446D">
        <w:rPr>
          <w:rFonts w:ascii="Times New Roman" w:hAnsi="Times New Roman"/>
          <w:color w:val="000000" w:themeColor="text1"/>
          <w:sz w:val="24"/>
          <w:szCs w:val="24"/>
        </w:rPr>
        <w:t>. 65786,43. The division is done based on one-off activities conducted in the Emergency Installation Unit (IGD).</w:t>
      </w:r>
    </w:p>
    <w:p w14:paraId="2BC444F8" w14:textId="77777777" w:rsidR="00AC74A0" w:rsidRPr="005C446D" w:rsidRDefault="00AC74A0" w:rsidP="00E278AB">
      <w:pPr>
        <w:pStyle w:val="ListParagraph"/>
        <w:numPr>
          <w:ilvl w:val="0"/>
          <w:numId w:val="7"/>
        </w:numPr>
        <w:spacing w:after="0" w:line="240" w:lineRule="auto"/>
        <w:ind w:left="851"/>
        <w:rPr>
          <w:rFonts w:ascii="Times New Roman" w:hAnsi="Times New Roman"/>
          <w:color w:val="000000" w:themeColor="text1"/>
          <w:sz w:val="24"/>
          <w:szCs w:val="24"/>
          <w:lang w:val="id-ID"/>
        </w:rPr>
      </w:pPr>
      <w:r w:rsidRPr="005C446D">
        <w:rPr>
          <w:rFonts w:ascii="Times New Roman" w:hAnsi="Times New Roman"/>
          <w:color w:val="000000" w:themeColor="text1"/>
          <w:sz w:val="24"/>
          <w:szCs w:val="24"/>
          <w:lang w:val="id-ID"/>
        </w:rPr>
        <w:t xml:space="preserve">Melati </w:t>
      </w:r>
      <w:r w:rsidRPr="005C446D">
        <w:rPr>
          <w:rFonts w:ascii="Times New Roman" w:hAnsi="Times New Roman"/>
          <w:color w:val="000000" w:themeColor="text1"/>
          <w:sz w:val="24"/>
          <w:szCs w:val="24"/>
        </w:rPr>
        <w:t>Ward</w:t>
      </w:r>
    </w:p>
    <w:p w14:paraId="2396ADBF" w14:textId="0BCA24DF" w:rsidR="00AC74A0" w:rsidRPr="005C446D" w:rsidRDefault="00AC74A0" w:rsidP="00E278AB">
      <w:pPr>
        <w:pStyle w:val="ListParagraph"/>
        <w:spacing w:after="0" w:line="240" w:lineRule="auto"/>
        <w:ind w:left="851" w:firstLine="294"/>
        <w:jc w:val="both"/>
        <w:rPr>
          <w:rFonts w:ascii="Times New Roman" w:hAnsi="Times New Roman"/>
          <w:color w:val="000000" w:themeColor="text1"/>
          <w:sz w:val="24"/>
          <w:szCs w:val="24"/>
          <w:lang w:val="id-ID"/>
        </w:rPr>
      </w:pPr>
      <w:proofErr w:type="spellStart"/>
      <w:r w:rsidRPr="005C446D">
        <w:rPr>
          <w:rFonts w:ascii="Times New Roman" w:hAnsi="Times New Roman"/>
          <w:color w:val="000000" w:themeColor="text1"/>
          <w:sz w:val="24"/>
          <w:szCs w:val="24"/>
          <w:lang w:val="id-ID"/>
        </w:rPr>
        <w:t>Inpatient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Panembahan Senopati Bantul General Hospital </w:t>
      </w:r>
      <w:proofErr w:type="spellStart"/>
      <w:r w:rsidRPr="005C446D">
        <w:rPr>
          <w:rFonts w:ascii="Times New Roman" w:hAnsi="Times New Roman"/>
          <w:color w:val="000000" w:themeColor="text1"/>
          <w:sz w:val="24"/>
          <w:szCs w:val="24"/>
          <w:lang w:val="id-ID"/>
        </w:rPr>
        <w:t>received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indirect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resource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overhead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fee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Rp.12.882.681.458,36. One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the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inpatient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units</w:t>
      </w:r>
      <w:proofErr w:type="spellEnd"/>
      <w:r w:rsidRPr="005C446D">
        <w:rPr>
          <w:rFonts w:ascii="Times New Roman" w:hAnsi="Times New Roman"/>
          <w:color w:val="000000" w:themeColor="text1"/>
          <w:sz w:val="24"/>
          <w:szCs w:val="24"/>
          <w:lang w:val="id-ID"/>
        </w:rPr>
        <w:t xml:space="preserve"> in Panembahan Senopati Bantul Hospital </w:t>
      </w:r>
      <w:proofErr w:type="spellStart"/>
      <w:r w:rsidRPr="005C446D">
        <w:rPr>
          <w:rFonts w:ascii="Times New Roman" w:hAnsi="Times New Roman"/>
          <w:color w:val="000000" w:themeColor="text1"/>
          <w:sz w:val="24"/>
          <w:szCs w:val="24"/>
          <w:lang w:val="id-ID"/>
        </w:rPr>
        <w:t>is</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rPr>
        <w:t>Mealti</w:t>
      </w:r>
      <w:proofErr w:type="spellEnd"/>
      <w:r w:rsidRPr="005C446D">
        <w:rPr>
          <w:rFonts w:ascii="Times New Roman" w:hAnsi="Times New Roman"/>
          <w:color w:val="000000" w:themeColor="text1"/>
          <w:sz w:val="24"/>
          <w:szCs w:val="24"/>
        </w:rPr>
        <w:t xml:space="preserve"> Ward</w:t>
      </w:r>
      <w:r w:rsidRPr="005C446D">
        <w:rPr>
          <w:rFonts w:ascii="Times New Roman" w:hAnsi="Times New Roman"/>
          <w:color w:val="000000" w:themeColor="text1"/>
          <w:sz w:val="24"/>
          <w:szCs w:val="24"/>
          <w:lang w:val="id-ID"/>
        </w:rPr>
        <w:t xml:space="preserve">. Melati </w:t>
      </w:r>
      <w:proofErr w:type="spellStart"/>
      <w:r w:rsidRPr="005C446D">
        <w:rPr>
          <w:rFonts w:ascii="Times New Roman" w:hAnsi="Times New Roman"/>
          <w:color w:val="000000" w:themeColor="text1"/>
          <w:sz w:val="24"/>
          <w:szCs w:val="24"/>
          <w:lang w:val="id-ID"/>
        </w:rPr>
        <w:t>ward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is</w:t>
      </w:r>
      <w:proofErr w:type="spellEnd"/>
      <w:r w:rsidRPr="005C446D">
        <w:rPr>
          <w:rFonts w:ascii="Times New Roman" w:hAnsi="Times New Roman"/>
          <w:color w:val="000000" w:themeColor="text1"/>
          <w:sz w:val="24"/>
          <w:szCs w:val="24"/>
          <w:lang w:val="id-ID"/>
        </w:rPr>
        <w:t xml:space="preserve"> a </w:t>
      </w:r>
      <w:proofErr w:type="spellStart"/>
      <w:r w:rsidRPr="005C446D">
        <w:rPr>
          <w:rFonts w:ascii="Times New Roman" w:hAnsi="Times New Roman"/>
          <w:color w:val="000000" w:themeColor="text1"/>
          <w:sz w:val="24"/>
          <w:szCs w:val="24"/>
          <w:lang w:val="id-ID"/>
        </w:rPr>
        <w:t>class</w:t>
      </w:r>
      <w:proofErr w:type="spellEnd"/>
      <w:r w:rsidRPr="005C446D">
        <w:rPr>
          <w:rFonts w:ascii="Times New Roman" w:hAnsi="Times New Roman"/>
          <w:color w:val="000000" w:themeColor="text1"/>
          <w:sz w:val="24"/>
          <w:szCs w:val="24"/>
          <w:lang w:val="id-ID"/>
        </w:rPr>
        <w:t xml:space="preserve"> III </w:t>
      </w:r>
      <w:proofErr w:type="spellStart"/>
      <w:r w:rsidRPr="005C446D">
        <w:rPr>
          <w:rFonts w:ascii="Times New Roman" w:hAnsi="Times New Roman"/>
          <w:color w:val="000000" w:themeColor="text1"/>
          <w:sz w:val="24"/>
          <w:szCs w:val="24"/>
          <w:lang w:val="id-ID"/>
        </w:rPr>
        <w:t>ward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and</w:t>
      </w:r>
      <w:proofErr w:type="spellEnd"/>
      <w:r w:rsidRPr="005C446D">
        <w:rPr>
          <w:rFonts w:ascii="Times New Roman" w:hAnsi="Times New Roman"/>
          <w:color w:val="000000" w:themeColor="text1"/>
          <w:sz w:val="24"/>
          <w:szCs w:val="24"/>
          <w:lang w:val="id-ID"/>
        </w:rPr>
        <w:t xml:space="preserve"> has a </w:t>
      </w:r>
      <w:proofErr w:type="spellStart"/>
      <w:r w:rsidRPr="005C446D">
        <w:rPr>
          <w:rFonts w:ascii="Times New Roman" w:hAnsi="Times New Roman"/>
          <w:color w:val="000000" w:themeColor="text1"/>
          <w:sz w:val="24"/>
          <w:szCs w:val="24"/>
          <w:lang w:val="id-ID"/>
        </w:rPr>
        <w:t>number</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beds</w:t>
      </w:r>
      <w:proofErr w:type="spellEnd"/>
      <w:r w:rsidRPr="005C446D">
        <w:rPr>
          <w:rFonts w:ascii="Times New Roman" w:hAnsi="Times New Roman"/>
          <w:color w:val="000000" w:themeColor="text1"/>
          <w:sz w:val="24"/>
          <w:szCs w:val="24"/>
          <w:lang w:val="id-ID"/>
        </w:rPr>
        <w:t xml:space="preserve"> as </w:t>
      </w:r>
      <w:proofErr w:type="spellStart"/>
      <w:r w:rsidRPr="005C446D">
        <w:rPr>
          <w:rFonts w:ascii="Times New Roman" w:hAnsi="Times New Roman"/>
          <w:color w:val="000000" w:themeColor="text1"/>
          <w:sz w:val="24"/>
          <w:szCs w:val="24"/>
          <w:lang w:val="id-ID"/>
        </w:rPr>
        <w:t>many</w:t>
      </w:r>
      <w:proofErr w:type="spellEnd"/>
      <w:r w:rsidRPr="005C446D">
        <w:rPr>
          <w:rFonts w:ascii="Times New Roman" w:hAnsi="Times New Roman"/>
          <w:color w:val="000000" w:themeColor="text1"/>
          <w:sz w:val="24"/>
          <w:szCs w:val="24"/>
          <w:lang w:val="id-ID"/>
        </w:rPr>
        <w:t xml:space="preserve"> as 27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the</w:t>
      </w:r>
      <w:proofErr w:type="spellEnd"/>
      <w:r w:rsidRPr="005C446D">
        <w:rPr>
          <w:rFonts w:ascii="Times New Roman" w:hAnsi="Times New Roman"/>
          <w:color w:val="000000" w:themeColor="text1"/>
          <w:sz w:val="24"/>
          <w:szCs w:val="24"/>
          <w:lang w:val="id-ID"/>
        </w:rPr>
        <w:t xml:space="preserve"> total 297 </w:t>
      </w:r>
      <w:proofErr w:type="spellStart"/>
      <w:r w:rsidRPr="005C446D">
        <w:rPr>
          <w:rFonts w:ascii="Times New Roman" w:hAnsi="Times New Roman"/>
          <w:color w:val="000000" w:themeColor="text1"/>
          <w:sz w:val="24"/>
          <w:szCs w:val="24"/>
          <w:lang w:val="id-ID"/>
        </w:rPr>
        <w:t>beds</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contained</w:t>
      </w:r>
      <w:proofErr w:type="spellEnd"/>
      <w:r w:rsidRPr="005C446D">
        <w:rPr>
          <w:rFonts w:ascii="Times New Roman" w:hAnsi="Times New Roman"/>
          <w:color w:val="000000" w:themeColor="text1"/>
          <w:sz w:val="24"/>
          <w:szCs w:val="24"/>
          <w:lang w:val="id-ID"/>
        </w:rPr>
        <w:t xml:space="preserve"> in Panembahan Senopati </w:t>
      </w:r>
      <w:r w:rsidR="005D53E7" w:rsidRPr="005C446D">
        <w:rPr>
          <w:rFonts w:ascii="Times New Roman" w:hAnsi="Times New Roman"/>
          <w:color w:val="000000" w:themeColor="text1"/>
          <w:sz w:val="24"/>
          <w:szCs w:val="24"/>
          <w:lang w:val="id-ID"/>
        </w:rPr>
        <w:t xml:space="preserve">Bantul </w:t>
      </w:r>
      <w:r w:rsidRPr="005C446D">
        <w:rPr>
          <w:rFonts w:ascii="Times New Roman" w:hAnsi="Times New Roman"/>
          <w:color w:val="000000" w:themeColor="text1"/>
          <w:sz w:val="24"/>
          <w:szCs w:val="24"/>
          <w:lang w:val="id-ID"/>
        </w:rPr>
        <w:t xml:space="preserve">Hospital. For </w:t>
      </w:r>
      <w:proofErr w:type="spellStart"/>
      <w:r w:rsidRPr="005C446D">
        <w:rPr>
          <w:rFonts w:ascii="Times New Roman" w:hAnsi="Times New Roman"/>
          <w:color w:val="000000" w:themeColor="text1"/>
          <w:sz w:val="24"/>
          <w:szCs w:val="24"/>
          <w:lang w:val="id-ID"/>
        </w:rPr>
        <w:t>indirect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resource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overhead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calculation</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rPr>
        <w:t>Melati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lang w:val="id-ID"/>
        </w:rPr>
        <w:t>Ward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get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charge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Rp.1.171.152.859,85.</w:t>
      </w:r>
    </w:p>
    <w:p w14:paraId="66942F15" w14:textId="77777777" w:rsidR="00AC74A0" w:rsidRPr="005C446D" w:rsidRDefault="00AC74A0" w:rsidP="00E278AB">
      <w:pPr>
        <w:pStyle w:val="ListParagraph"/>
        <w:spacing w:after="0" w:line="240" w:lineRule="auto"/>
        <w:ind w:left="851" w:firstLine="294"/>
        <w:jc w:val="both"/>
        <w:rPr>
          <w:rFonts w:ascii="Times New Roman" w:hAnsi="Times New Roman"/>
          <w:color w:val="000000" w:themeColor="text1"/>
          <w:sz w:val="24"/>
          <w:szCs w:val="24"/>
          <w:lang w:val="id-ID"/>
        </w:rPr>
      </w:pPr>
      <w:r w:rsidRPr="005C446D">
        <w:rPr>
          <w:rFonts w:ascii="Times New Roman" w:hAnsi="Times New Roman"/>
          <w:color w:val="000000" w:themeColor="text1"/>
          <w:sz w:val="24"/>
          <w:szCs w:val="24"/>
          <w:lang w:val="id-ID"/>
        </w:rPr>
        <w:t xml:space="preserve">The </w:t>
      </w:r>
      <w:proofErr w:type="spellStart"/>
      <w:r w:rsidRPr="005C446D">
        <w:rPr>
          <w:rFonts w:ascii="Times New Roman" w:hAnsi="Times New Roman"/>
          <w:color w:val="000000" w:themeColor="text1"/>
          <w:sz w:val="24"/>
          <w:szCs w:val="24"/>
          <w:lang w:val="id-ID"/>
        </w:rPr>
        <w:t>cost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the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overhead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indirectly</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charged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by</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the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patient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will</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be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proportioned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to</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impose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the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cost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indirect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resource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overhead</w:t>
      </w:r>
      <w:proofErr w:type="spellEnd"/>
      <w:r w:rsidRPr="005C446D">
        <w:rPr>
          <w:rFonts w:ascii="Times New Roman" w:hAnsi="Times New Roman"/>
          <w:color w:val="000000" w:themeColor="text1"/>
          <w:sz w:val="24"/>
          <w:szCs w:val="24"/>
          <w:lang w:val="id-ID"/>
        </w:rPr>
        <w:t xml:space="preserve"> per </w:t>
      </w:r>
      <w:proofErr w:type="spellStart"/>
      <w:r w:rsidRPr="005C446D">
        <w:rPr>
          <w:rFonts w:ascii="Times New Roman" w:hAnsi="Times New Roman"/>
          <w:color w:val="000000" w:themeColor="text1"/>
          <w:sz w:val="24"/>
          <w:szCs w:val="24"/>
          <w:lang w:val="id-ID"/>
        </w:rPr>
        <w:t>each</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day</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care</w:t>
      </w:r>
      <w:proofErr w:type="spellEnd"/>
      <w:r w:rsidRPr="005C446D">
        <w:rPr>
          <w:rFonts w:ascii="Times New Roman" w:hAnsi="Times New Roman"/>
          <w:color w:val="000000" w:themeColor="text1"/>
          <w:sz w:val="24"/>
          <w:szCs w:val="24"/>
          <w:lang w:val="id-ID"/>
        </w:rPr>
        <w:t xml:space="preserve"> (LOS). </w:t>
      </w:r>
      <w:proofErr w:type="spellStart"/>
      <w:r w:rsidRPr="005C446D">
        <w:rPr>
          <w:rFonts w:ascii="Times New Roman" w:hAnsi="Times New Roman"/>
          <w:color w:val="000000" w:themeColor="text1"/>
          <w:sz w:val="24"/>
          <w:szCs w:val="24"/>
          <w:lang w:val="id-ID"/>
        </w:rPr>
        <w:t>Ward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Jasmine in 2016 has </w:t>
      </w:r>
      <w:proofErr w:type="spellStart"/>
      <w:r w:rsidRPr="005C446D">
        <w:rPr>
          <w:rFonts w:ascii="Times New Roman" w:hAnsi="Times New Roman"/>
          <w:color w:val="000000" w:themeColor="text1"/>
          <w:sz w:val="24"/>
          <w:szCs w:val="24"/>
          <w:lang w:val="id-ID"/>
        </w:rPr>
        <w:t>the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number</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day</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care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for</w:t>
      </w:r>
      <w:proofErr w:type="spellEnd"/>
      <w:r w:rsidRPr="005C446D">
        <w:rPr>
          <w:rFonts w:ascii="Times New Roman" w:hAnsi="Times New Roman"/>
          <w:color w:val="000000" w:themeColor="text1"/>
          <w:sz w:val="24"/>
          <w:szCs w:val="24"/>
          <w:lang w:val="id-ID"/>
        </w:rPr>
        <w:t xml:space="preserve"> 5,642 hospital </w:t>
      </w:r>
      <w:proofErr w:type="spellStart"/>
      <w:r w:rsidRPr="005C446D">
        <w:rPr>
          <w:rFonts w:ascii="Times New Roman" w:hAnsi="Times New Roman"/>
          <w:color w:val="000000" w:themeColor="text1"/>
          <w:sz w:val="24"/>
          <w:szCs w:val="24"/>
          <w:lang w:val="id-ID"/>
        </w:rPr>
        <w:t>day</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so</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for</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every</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day</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care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then</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one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patient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get</w:t>
      </w:r>
      <w:proofErr w:type="spellEnd"/>
      <w:r w:rsidRPr="005C446D">
        <w:rPr>
          <w:rFonts w:ascii="Times New Roman" w:hAnsi="Times New Roman"/>
          <w:color w:val="000000" w:themeColor="text1"/>
          <w:sz w:val="24"/>
          <w:szCs w:val="24"/>
        </w:rPr>
        <w:t>s</w:t>
      </w:r>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the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cost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indirect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resource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overhead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cost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equal</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to</w:t>
      </w:r>
      <w:proofErr w:type="spellEnd"/>
      <w:r w:rsidRPr="005C446D">
        <w:rPr>
          <w:rFonts w:ascii="Times New Roman" w:hAnsi="Times New Roman"/>
          <w:color w:val="000000" w:themeColor="text1"/>
          <w:sz w:val="24"/>
          <w:szCs w:val="24"/>
          <w:lang w:val="id-ID"/>
        </w:rPr>
        <w:t xml:space="preserve"> Rp.207.577,61.</w:t>
      </w:r>
    </w:p>
    <w:p w14:paraId="1146DCEC" w14:textId="77777777" w:rsidR="005C14D1" w:rsidRPr="005C446D" w:rsidRDefault="005C14D1" w:rsidP="00FD7CFA">
      <w:pPr>
        <w:pStyle w:val="ListParagraph"/>
        <w:spacing w:after="0" w:line="240" w:lineRule="auto"/>
        <w:ind w:left="426" w:firstLine="294"/>
        <w:jc w:val="both"/>
        <w:rPr>
          <w:rFonts w:ascii="Times New Roman" w:hAnsi="Times New Roman"/>
          <w:color w:val="000000" w:themeColor="text1"/>
          <w:sz w:val="24"/>
          <w:szCs w:val="24"/>
          <w:lang w:val="id-ID"/>
        </w:rPr>
      </w:pPr>
    </w:p>
    <w:p w14:paraId="5DDF2965" w14:textId="77777777" w:rsidR="00AC74A0" w:rsidRPr="005C446D" w:rsidRDefault="00AC74A0" w:rsidP="00E278AB">
      <w:pPr>
        <w:pStyle w:val="ListParagraph"/>
        <w:numPr>
          <w:ilvl w:val="0"/>
          <w:numId w:val="2"/>
        </w:numPr>
        <w:spacing w:after="0" w:line="240" w:lineRule="auto"/>
        <w:ind w:left="426" w:hanging="426"/>
        <w:jc w:val="both"/>
        <w:rPr>
          <w:rFonts w:ascii="Times New Roman" w:hAnsi="Times New Roman"/>
          <w:b/>
          <w:color w:val="000000" w:themeColor="text1"/>
          <w:sz w:val="24"/>
          <w:szCs w:val="24"/>
          <w:lang w:val="id-ID"/>
        </w:rPr>
      </w:pPr>
      <w:r w:rsidRPr="005C446D">
        <w:rPr>
          <w:rFonts w:ascii="Times New Roman" w:hAnsi="Times New Roman"/>
          <w:b/>
          <w:color w:val="000000" w:themeColor="text1"/>
          <w:sz w:val="24"/>
          <w:szCs w:val="24"/>
        </w:rPr>
        <w:t xml:space="preserve">Determine </w:t>
      </w:r>
      <w:proofErr w:type="spellStart"/>
      <w:r w:rsidRPr="005C446D">
        <w:rPr>
          <w:rFonts w:ascii="Times New Roman" w:hAnsi="Times New Roman"/>
          <w:b/>
          <w:color w:val="000000" w:themeColor="text1"/>
          <w:sz w:val="24"/>
          <w:szCs w:val="24"/>
          <w:lang w:val="id-ID"/>
        </w:rPr>
        <w:t>Direct</w:t>
      </w:r>
      <w:proofErr w:type="spellEnd"/>
      <w:r w:rsidRPr="005C446D">
        <w:rPr>
          <w:rFonts w:ascii="Times New Roman" w:hAnsi="Times New Roman"/>
          <w:b/>
          <w:color w:val="000000" w:themeColor="text1"/>
          <w:sz w:val="24"/>
          <w:szCs w:val="24"/>
          <w:lang w:val="id-ID"/>
        </w:rPr>
        <w:t xml:space="preserve"> Resource </w:t>
      </w:r>
      <w:proofErr w:type="spellStart"/>
      <w:r w:rsidRPr="005C446D">
        <w:rPr>
          <w:rFonts w:ascii="Times New Roman" w:hAnsi="Times New Roman"/>
          <w:b/>
          <w:color w:val="000000" w:themeColor="text1"/>
          <w:sz w:val="24"/>
          <w:szCs w:val="24"/>
          <w:lang w:val="id-ID"/>
        </w:rPr>
        <w:t>Overhead</w:t>
      </w:r>
      <w:proofErr w:type="spellEnd"/>
    </w:p>
    <w:p w14:paraId="5543EFB1" w14:textId="77777777" w:rsidR="00AC74A0" w:rsidRPr="005C446D" w:rsidRDefault="00AC74A0" w:rsidP="00E278AB">
      <w:pPr>
        <w:pStyle w:val="ListParagraph"/>
        <w:numPr>
          <w:ilvl w:val="0"/>
          <w:numId w:val="8"/>
        </w:numPr>
        <w:spacing w:after="0" w:line="240" w:lineRule="auto"/>
        <w:ind w:left="851" w:hanging="426"/>
        <w:jc w:val="both"/>
        <w:rPr>
          <w:rFonts w:ascii="Times New Roman" w:hAnsi="Times New Roman"/>
          <w:color w:val="000000" w:themeColor="text1"/>
          <w:sz w:val="24"/>
          <w:szCs w:val="24"/>
          <w:lang w:val="id-ID"/>
        </w:rPr>
      </w:pPr>
      <w:r w:rsidRPr="005C446D">
        <w:rPr>
          <w:rFonts w:ascii="Times New Roman" w:hAnsi="Times New Roman"/>
          <w:color w:val="000000" w:themeColor="text1"/>
          <w:sz w:val="24"/>
          <w:szCs w:val="24"/>
          <w:lang w:val="id-ID"/>
        </w:rPr>
        <w:t>IGD</w:t>
      </w:r>
    </w:p>
    <w:p w14:paraId="2A4F37A3" w14:textId="6EB6563B" w:rsidR="00AC74A0" w:rsidRPr="005C446D" w:rsidRDefault="00AC74A0" w:rsidP="00E278AB">
      <w:pPr>
        <w:pStyle w:val="ListParagraph"/>
        <w:spacing w:after="0" w:line="240" w:lineRule="auto"/>
        <w:ind w:left="851" w:firstLine="283"/>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The cost of direct resource overhead unit cost </w:t>
      </w:r>
      <w:proofErr w:type="gramStart"/>
      <w:r w:rsidRPr="005C446D">
        <w:rPr>
          <w:rFonts w:ascii="Times New Roman" w:hAnsi="Times New Roman"/>
          <w:color w:val="000000" w:themeColor="text1"/>
          <w:sz w:val="24"/>
          <w:szCs w:val="24"/>
        </w:rPr>
        <w:t>The</w:t>
      </w:r>
      <w:proofErr w:type="gramEnd"/>
      <w:r w:rsidRPr="005C446D">
        <w:rPr>
          <w:rFonts w:ascii="Times New Roman" w:hAnsi="Times New Roman"/>
          <w:color w:val="000000" w:themeColor="text1"/>
          <w:sz w:val="24"/>
          <w:szCs w:val="24"/>
        </w:rPr>
        <w:t xml:space="preserve"> emergency department obtained a fee of RP.1.943.144.041,74. The total cost will then be charged to all IGD patients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 xml:space="preserve"> Hospital in 2016 many as 23,711 patients, then for one patient will get the cost of direct resource overhead of RP. 81.951,16.</w:t>
      </w:r>
    </w:p>
    <w:p w14:paraId="3C1635FE" w14:textId="77777777" w:rsidR="00AC74A0" w:rsidRPr="005C446D" w:rsidRDefault="00AC74A0" w:rsidP="00E278AB">
      <w:pPr>
        <w:pStyle w:val="ListParagraph"/>
        <w:numPr>
          <w:ilvl w:val="0"/>
          <w:numId w:val="8"/>
        </w:numPr>
        <w:spacing w:after="0" w:line="240" w:lineRule="auto"/>
        <w:ind w:left="851" w:hanging="426"/>
        <w:jc w:val="both"/>
        <w:rPr>
          <w:rFonts w:ascii="Times New Roman" w:hAnsi="Times New Roman"/>
          <w:color w:val="000000" w:themeColor="text1"/>
          <w:sz w:val="24"/>
          <w:szCs w:val="24"/>
          <w:lang w:val="id-ID"/>
        </w:rPr>
      </w:pPr>
      <w:r w:rsidRPr="005C446D">
        <w:rPr>
          <w:rFonts w:ascii="Times New Roman" w:hAnsi="Times New Roman"/>
          <w:color w:val="000000" w:themeColor="text1"/>
          <w:sz w:val="24"/>
          <w:szCs w:val="24"/>
          <w:lang w:val="id-ID"/>
        </w:rPr>
        <w:t xml:space="preserve">Melati </w:t>
      </w:r>
      <w:r w:rsidRPr="005C446D">
        <w:rPr>
          <w:rFonts w:ascii="Times New Roman" w:hAnsi="Times New Roman"/>
          <w:color w:val="000000" w:themeColor="text1"/>
          <w:sz w:val="24"/>
          <w:szCs w:val="24"/>
        </w:rPr>
        <w:t>Ward</w:t>
      </w:r>
    </w:p>
    <w:p w14:paraId="3B221994" w14:textId="58949FA4" w:rsidR="00AC74A0" w:rsidRPr="005C446D" w:rsidRDefault="00AC74A0" w:rsidP="00E278AB">
      <w:pPr>
        <w:pStyle w:val="ListParagraph"/>
        <w:spacing w:after="0" w:line="240" w:lineRule="auto"/>
        <w:ind w:left="851" w:firstLine="283"/>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The cost calculation o</w:t>
      </w:r>
      <w:r w:rsidR="005B1312" w:rsidRPr="005C446D">
        <w:rPr>
          <w:rFonts w:ascii="Times New Roman" w:hAnsi="Times New Roman"/>
          <w:color w:val="000000" w:themeColor="text1"/>
          <w:sz w:val="24"/>
          <w:szCs w:val="24"/>
        </w:rPr>
        <w:t xml:space="preserve">f Direct Resource overhead </w:t>
      </w:r>
      <w:r w:rsidRPr="005C446D">
        <w:rPr>
          <w:rFonts w:ascii="Times New Roman" w:hAnsi="Times New Roman"/>
          <w:color w:val="000000" w:themeColor="text1"/>
          <w:sz w:val="24"/>
          <w:szCs w:val="24"/>
        </w:rPr>
        <w:t xml:space="preserve">of </w:t>
      </w:r>
      <w:proofErr w:type="spellStart"/>
      <w:r w:rsidRPr="005C446D">
        <w:rPr>
          <w:rFonts w:ascii="Times New Roman" w:hAnsi="Times New Roman"/>
          <w:color w:val="000000" w:themeColor="text1"/>
          <w:sz w:val="24"/>
          <w:szCs w:val="24"/>
        </w:rPr>
        <w:t>Melati</w:t>
      </w:r>
      <w:proofErr w:type="spellEnd"/>
      <w:r w:rsidRPr="005C446D">
        <w:rPr>
          <w:rFonts w:ascii="Times New Roman" w:hAnsi="Times New Roman"/>
          <w:color w:val="000000" w:themeColor="text1"/>
          <w:sz w:val="24"/>
          <w:szCs w:val="24"/>
        </w:rPr>
        <w:t xml:space="preserve"> ward</w:t>
      </w:r>
      <w:r w:rsidR="005B1312" w:rsidRPr="005C446D">
        <w:rPr>
          <w:rFonts w:ascii="Times New Roman" w:hAnsi="Times New Roman"/>
          <w:color w:val="000000" w:themeColor="text1"/>
          <w:sz w:val="24"/>
          <w:szCs w:val="24"/>
        </w:rPr>
        <w:t xml:space="preserve"> unit in 2016 is </w:t>
      </w:r>
      <w:proofErr w:type="gramStart"/>
      <w:r w:rsidR="005B1312" w:rsidRPr="005C446D">
        <w:rPr>
          <w:rFonts w:ascii="Times New Roman" w:hAnsi="Times New Roman"/>
          <w:color w:val="000000" w:themeColor="text1"/>
          <w:sz w:val="24"/>
          <w:szCs w:val="24"/>
        </w:rPr>
        <w:t>Rp.</w:t>
      </w:r>
      <w:r w:rsidRPr="005C446D">
        <w:rPr>
          <w:rFonts w:ascii="Times New Roman" w:hAnsi="Times New Roman"/>
          <w:color w:val="000000" w:themeColor="text1"/>
          <w:sz w:val="24"/>
          <w:szCs w:val="24"/>
        </w:rPr>
        <w:t>1,174,933,723</w:t>
      </w:r>
      <w:proofErr w:type="gramEnd"/>
      <w:r w:rsidRPr="005C446D">
        <w:rPr>
          <w:rFonts w:ascii="Times New Roman" w:hAnsi="Times New Roman"/>
          <w:color w:val="000000" w:themeColor="text1"/>
          <w:sz w:val="24"/>
          <w:szCs w:val="24"/>
        </w:rPr>
        <w:t>,71, which is then charged to all patients on the basis of load</w:t>
      </w:r>
      <w:r w:rsidR="005B1312" w:rsidRPr="005C446D">
        <w:rPr>
          <w:rFonts w:ascii="Times New Roman" w:hAnsi="Times New Roman"/>
          <w:color w:val="000000" w:themeColor="text1"/>
          <w:sz w:val="24"/>
          <w:szCs w:val="24"/>
        </w:rPr>
        <w:t xml:space="preserve">ing the number of day care </w:t>
      </w:r>
      <w:r w:rsidRPr="005C446D">
        <w:rPr>
          <w:rFonts w:ascii="Times New Roman" w:hAnsi="Times New Roman"/>
          <w:color w:val="000000" w:themeColor="text1"/>
          <w:sz w:val="24"/>
          <w:szCs w:val="24"/>
        </w:rPr>
        <w:t xml:space="preserve">of </w:t>
      </w:r>
      <w:proofErr w:type="spellStart"/>
      <w:r w:rsidRPr="005C446D">
        <w:rPr>
          <w:rFonts w:ascii="Times New Roman" w:hAnsi="Times New Roman"/>
          <w:color w:val="000000" w:themeColor="text1"/>
          <w:sz w:val="24"/>
          <w:szCs w:val="24"/>
        </w:rPr>
        <w:t>Melati</w:t>
      </w:r>
      <w:proofErr w:type="spellEnd"/>
      <w:r w:rsidRPr="005C446D">
        <w:rPr>
          <w:rFonts w:ascii="Times New Roman" w:hAnsi="Times New Roman"/>
          <w:color w:val="000000" w:themeColor="text1"/>
          <w:sz w:val="24"/>
          <w:szCs w:val="24"/>
        </w:rPr>
        <w:t xml:space="preserve"> Ward </w:t>
      </w:r>
      <w:r w:rsidR="005B1312" w:rsidRPr="005C446D">
        <w:rPr>
          <w:rFonts w:ascii="Times New Roman" w:hAnsi="Times New Roman"/>
          <w:color w:val="000000" w:themeColor="text1"/>
          <w:sz w:val="24"/>
          <w:szCs w:val="24"/>
        </w:rPr>
        <w:t xml:space="preserve">unit </w:t>
      </w:r>
      <w:r w:rsidRPr="005C446D">
        <w:rPr>
          <w:rFonts w:ascii="Times New Roman" w:hAnsi="Times New Roman"/>
          <w:color w:val="000000" w:themeColor="text1"/>
          <w:sz w:val="24"/>
          <w:szCs w:val="24"/>
        </w:rPr>
        <w:t xml:space="preserve">during 2016 is 5,624 days. </w:t>
      </w:r>
      <w:proofErr w:type="gramStart"/>
      <w:r w:rsidR="00FA6AEF" w:rsidRPr="005C446D">
        <w:rPr>
          <w:rFonts w:ascii="Times New Roman" w:hAnsi="Times New Roman"/>
          <w:color w:val="000000" w:themeColor="text1"/>
          <w:sz w:val="24"/>
          <w:szCs w:val="24"/>
        </w:rPr>
        <w:t>So</w:t>
      </w:r>
      <w:proofErr w:type="gramEnd"/>
      <w:r w:rsidR="00FA6AEF" w:rsidRPr="005C446D">
        <w:rPr>
          <w:rFonts w:ascii="Times New Roman" w:hAnsi="Times New Roman"/>
          <w:color w:val="000000" w:themeColor="text1"/>
          <w:sz w:val="24"/>
          <w:szCs w:val="24"/>
        </w:rPr>
        <w:t xml:space="preserve"> one patient in the </w:t>
      </w:r>
      <w:proofErr w:type="spellStart"/>
      <w:r w:rsidR="00FA6AEF" w:rsidRPr="005C446D">
        <w:rPr>
          <w:rFonts w:ascii="Times New Roman" w:hAnsi="Times New Roman"/>
          <w:color w:val="000000" w:themeColor="text1"/>
          <w:sz w:val="24"/>
          <w:szCs w:val="24"/>
        </w:rPr>
        <w:t>Melati</w:t>
      </w:r>
      <w:proofErr w:type="spellEnd"/>
      <w:r w:rsidR="00FA6AEF" w:rsidRPr="005C446D">
        <w:rPr>
          <w:rFonts w:ascii="Times New Roman" w:hAnsi="Times New Roman"/>
          <w:color w:val="000000" w:themeColor="text1"/>
          <w:sz w:val="24"/>
          <w:szCs w:val="24"/>
        </w:rPr>
        <w:t xml:space="preserve"> ward unit gets a direct resource overhead cost of </w:t>
      </w:r>
      <w:proofErr w:type="spellStart"/>
      <w:r w:rsidR="00FA6AEF" w:rsidRPr="005C446D">
        <w:rPr>
          <w:rFonts w:ascii="Times New Roman" w:hAnsi="Times New Roman"/>
          <w:color w:val="000000" w:themeColor="text1"/>
          <w:sz w:val="24"/>
          <w:szCs w:val="24"/>
        </w:rPr>
        <w:t>Rp</w:t>
      </w:r>
      <w:proofErr w:type="spellEnd"/>
      <w:r w:rsidR="00FA6AEF" w:rsidRPr="005C446D">
        <w:rPr>
          <w:rFonts w:ascii="Times New Roman" w:hAnsi="Times New Roman"/>
          <w:color w:val="000000" w:themeColor="text1"/>
          <w:sz w:val="24"/>
          <w:szCs w:val="24"/>
        </w:rPr>
        <w:t>. 208.247,74.</w:t>
      </w:r>
    </w:p>
    <w:p w14:paraId="1E0D31FC" w14:textId="77777777" w:rsidR="004633EF" w:rsidRPr="005C446D" w:rsidRDefault="004633EF" w:rsidP="00E278AB">
      <w:pPr>
        <w:pStyle w:val="ListParagraph"/>
        <w:spacing w:after="0" w:line="240" w:lineRule="auto"/>
        <w:ind w:left="426" w:hanging="426"/>
        <w:jc w:val="both"/>
        <w:rPr>
          <w:rFonts w:ascii="Times New Roman" w:hAnsi="Times New Roman"/>
          <w:color w:val="000000" w:themeColor="text1"/>
          <w:sz w:val="24"/>
          <w:szCs w:val="24"/>
        </w:rPr>
      </w:pPr>
    </w:p>
    <w:p w14:paraId="263C2779" w14:textId="77777777" w:rsidR="00AC74A0" w:rsidRPr="005C446D" w:rsidRDefault="00AC74A0" w:rsidP="00E278AB">
      <w:pPr>
        <w:pStyle w:val="ListParagraph"/>
        <w:numPr>
          <w:ilvl w:val="0"/>
          <w:numId w:val="2"/>
        </w:numPr>
        <w:spacing w:after="0" w:line="240" w:lineRule="auto"/>
        <w:ind w:left="426" w:hanging="426"/>
        <w:jc w:val="both"/>
        <w:rPr>
          <w:rFonts w:ascii="Times New Roman" w:hAnsi="Times New Roman"/>
          <w:b/>
          <w:color w:val="000000" w:themeColor="text1"/>
          <w:sz w:val="24"/>
          <w:szCs w:val="24"/>
          <w:lang w:val="id-ID"/>
        </w:rPr>
      </w:pPr>
      <w:r w:rsidRPr="005C446D">
        <w:rPr>
          <w:rFonts w:ascii="Times New Roman" w:hAnsi="Times New Roman"/>
          <w:b/>
          <w:color w:val="000000" w:themeColor="text1"/>
          <w:sz w:val="24"/>
          <w:szCs w:val="24"/>
        </w:rPr>
        <w:t xml:space="preserve">Determine </w:t>
      </w:r>
      <w:proofErr w:type="spellStart"/>
      <w:r w:rsidRPr="005C446D">
        <w:rPr>
          <w:rFonts w:ascii="Times New Roman" w:hAnsi="Times New Roman"/>
          <w:b/>
          <w:color w:val="000000" w:themeColor="text1"/>
          <w:sz w:val="24"/>
          <w:szCs w:val="24"/>
          <w:lang w:val="id-ID"/>
        </w:rPr>
        <w:t>overhead</w:t>
      </w:r>
      <w:proofErr w:type="spellEnd"/>
      <w:r w:rsidRPr="005C446D">
        <w:rPr>
          <w:rFonts w:ascii="Times New Roman" w:hAnsi="Times New Roman"/>
          <w:b/>
          <w:color w:val="000000" w:themeColor="text1"/>
          <w:sz w:val="24"/>
          <w:szCs w:val="24"/>
          <w:lang w:val="id-ID"/>
        </w:rPr>
        <w:t xml:space="preserve"> </w:t>
      </w:r>
      <w:r w:rsidRPr="005C446D">
        <w:rPr>
          <w:rFonts w:ascii="Times New Roman" w:hAnsi="Times New Roman"/>
          <w:b/>
          <w:color w:val="000000" w:themeColor="text1"/>
          <w:sz w:val="24"/>
          <w:szCs w:val="24"/>
        </w:rPr>
        <w:t xml:space="preserve">cost </w:t>
      </w:r>
      <w:r w:rsidRPr="005C446D">
        <w:rPr>
          <w:rFonts w:ascii="Times New Roman" w:hAnsi="Times New Roman"/>
          <w:b/>
          <w:color w:val="000000" w:themeColor="text1"/>
          <w:sz w:val="24"/>
          <w:szCs w:val="24"/>
          <w:lang w:val="id-ID"/>
        </w:rPr>
        <w:t xml:space="preserve">per </w:t>
      </w:r>
      <w:r w:rsidRPr="005C446D">
        <w:rPr>
          <w:rFonts w:ascii="Times New Roman" w:hAnsi="Times New Roman"/>
          <w:b/>
          <w:color w:val="000000" w:themeColor="text1"/>
          <w:sz w:val="24"/>
          <w:szCs w:val="24"/>
        </w:rPr>
        <w:t xml:space="preserve">activity </w:t>
      </w:r>
    </w:p>
    <w:p w14:paraId="6CC3053A" w14:textId="77777777" w:rsidR="00AC74A0" w:rsidRPr="005C446D" w:rsidRDefault="00AC74A0" w:rsidP="00E278AB">
      <w:pPr>
        <w:pStyle w:val="ListParagraph"/>
        <w:numPr>
          <w:ilvl w:val="0"/>
          <w:numId w:val="3"/>
        </w:numPr>
        <w:spacing w:after="0" w:line="240" w:lineRule="auto"/>
        <w:ind w:left="851" w:hanging="426"/>
        <w:jc w:val="both"/>
        <w:rPr>
          <w:rFonts w:ascii="Times New Roman" w:hAnsi="Times New Roman"/>
          <w:b/>
          <w:color w:val="000000" w:themeColor="text1"/>
          <w:sz w:val="24"/>
          <w:szCs w:val="24"/>
          <w:lang w:val="id-ID"/>
        </w:rPr>
      </w:pPr>
      <w:r w:rsidRPr="005C446D">
        <w:rPr>
          <w:rFonts w:ascii="Times New Roman" w:hAnsi="Times New Roman"/>
          <w:color w:val="000000" w:themeColor="text1"/>
          <w:sz w:val="24"/>
          <w:szCs w:val="24"/>
          <w:lang w:val="id-ID"/>
        </w:rPr>
        <w:t>IGD</w:t>
      </w:r>
    </w:p>
    <w:p w14:paraId="10AC6BB9" w14:textId="77777777" w:rsidR="00AC74A0" w:rsidRPr="005C446D" w:rsidRDefault="00AC74A0" w:rsidP="00E278AB">
      <w:pPr>
        <w:pStyle w:val="ListParagraph"/>
        <w:spacing w:after="0" w:line="240" w:lineRule="auto"/>
        <w:ind w:left="851" w:firstLine="283"/>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The cost of overhead per activity on the IGD unit is obtained indirect </w:t>
      </w:r>
      <w:proofErr w:type="spellStart"/>
      <w:r w:rsidRPr="005C446D">
        <w:rPr>
          <w:rFonts w:ascii="Times New Roman" w:hAnsi="Times New Roman"/>
          <w:color w:val="000000" w:themeColor="text1"/>
          <w:sz w:val="24"/>
          <w:szCs w:val="24"/>
        </w:rPr>
        <w:t>resoutce</w:t>
      </w:r>
      <w:proofErr w:type="spellEnd"/>
      <w:r w:rsidRPr="005C446D">
        <w:rPr>
          <w:rFonts w:ascii="Times New Roman" w:hAnsi="Times New Roman"/>
          <w:color w:val="000000" w:themeColor="text1"/>
          <w:sz w:val="24"/>
          <w:szCs w:val="24"/>
        </w:rPr>
        <w:t xml:space="preserve"> overhead cost of </w:t>
      </w:r>
      <w:proofErr w:type="spellStart"/>
      <w:r w:rsidRPr="005C446D">
        <w:rPr>
          <w:rFonts w:ascii="Times New Roman" w:hAnsi="Times New Roman"/>
          <w:color w:val="000000" w:themeColor="text1"/>
          <w:sz w:val="24"/>
          <w:szCs w:val="24"/>
        </w:rPr>
        <w:t>Rp</w:t>
      </w:r>
      <w:proofErr w:type="spellEnd"/>
      <w:r w:rsidRPr="005C446D">
        <w:rPr>
          <w:rFonts w:ascii="Times New Roman" w:hAnsi="Times New Roman"/>
          <w:color w:val="000000" w:themeColor="text1"/>
          <w:sz w:val="24"/>
          <w:szCs w:val="24"/>
        </w:rPr>
        <w:t>. 65,786,43, and direct resource overhead costs amounting to Rp.81.951,16</w:t>
      </w:r>
    </w:p>
    <w:p w14:paraId="58BD3DFA" w14:textId="77777777" w:rsidR="00FA6AEF" w:rsidRPr="005C446D" w:rsidRDefault="00FA6AEF" w:rsidP="00E278AB">
      <w:pPr>
        <w:pStyle w:val="ListParagraph"/>
        <w:spacing w:after="0" w:line="240" w:lineRule="auto"/>
        <w:ind w:left="851" w:hanging="426"/>
        <w:jc w:val="both"/>
        <w:rPr>
          <w:rFonts w:ascii="Times New Roman" w:hAnsi="Times New Roman"/>
          <w:color w:val="000000" w:themeColor="text1"/>
          <w:sz w:val="24"/>
          <w:szCs w:val="24"/>
        </w:rPr>
      </w:pPr>
    </w:p>
    <w:p w14:paraId="41AD502E" w14:textId="77777777" w:rsidR="00AC74A0" w:rsidRPr="005C446D" w:rsidRDefault="00AC74A0" w:rsidP="00E278AB">
      <w:pPr>
        <w:pStyle w:val="ListParagraph"/>
        <w:numPr>
          <w:ilvl w:val="0"/>
          <w:numId w:val="3"/>
        </w:numPr>
        <w:spacing w:after="0" w:line="240" w:lineRule="auto"/>
        <w:ind w:left="851" w:hanging="426"/>
        <w:jc w:val="both"/>
        <w:rPr>
          <w:rFonts w:ascii="Times New Roman" w:hAnsi="Times New Roman"/>
          <w:b/>
          <w:color w:val="000000" w:themeColor="text1"/>
          <w:sz w:val="24"/>
          <w:szCs w:val="24"/>
          <w:lang w:val="id-ID"/>
        </w:rPr>
      </w:pPr>
      <w:r w:rsidRPr="005C446D">
        <w:rPr>
          <w:rFonts w:ascii="Times New Roman" w:hAnsi="Times New Roman"/>
          <w:color w:val="000000" w:themeColor="text1"/>
          <w:sz w:val="24"/>
          <w:szCs w:val="24"/>
          <w:lang w:val="id-ID"/>
        </w:rPr>
        <w:t>Melati</w:t>
      </w:r>
      <w:r w:rsidRPr="005C446D">
        <w:rPr>
          <w:rFonts w:ascii="Times New Roman" w:hAnsi="Times New Roman"/>
          <w:color w:val="000000" w:themeColor="text1"/>
          <w:sz w:val="24"/>
          <w:szCs w:val="24"/>
        </w:rPr>
        <w:t xml:space="preserve"> Ward</w:t>
      </w:r>
    </w:p>
    <w:p w14:paraId="30E9C27D" w14:textId="2BE1E896" w:rsidR="00AC74A0" w:rsidRPr="005C446D" w:rsidRDefault="00AC74A0" w:rsidP="00E278AB">
      <w:pPr>
        <w:pStyle w:val="ListParagraph"/>
        <w:spacing w:after="0" w:line="240" w:lineRule="auto"/>
        <w:ind w:left="851" w:firstLine="283"/>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The cost of overhead per activity on </w:t>
      </w:r>
      <w:proofErr w:type="spellStart"/>
      <w:r w:rsidRPr="005C446D">
        <w:rPr>
          <w:rFonts w:ascii="Times New Roman" w:hAnsi="Times New Roman"/>
          <w:color w:val="000000" w:themeColor="text1"/>
          <w:sz w:val="24"/>
          <w:szCs w:val="24"/>
        </w:rPr>
        <w:t>Melati</w:t>
      </w:r>
      <w:proofErr w:type="spellEnd"/>
      <w:r w:rsidRPr="005C446D">
        <w:rPr>
          <w:rFonts w:ascii="Times New Roman" w:hAnsi="Times New Roman"/>
          <w:color w:val="000000" w:themeColor="text1"/>
          <w:sz w:val="24"/>
          <w:szCs w:val="24"/>
        </w:rPr>
        <w:t xml:space="preserve"> ward</w:t>
      </w:r>
      <w:r w:rsidR="00FA6AEF" w:rsidRPr="005C446D">
        <w:rPr>
          <w:rFonts w:ascii="Times New Roman" w:hAnsi="Times New Roman"/>
          <w:color w:val="000000" w:themeColor="text1"/>
          <w:sz w:val="24"/>
          <w:szCs w:val="24"/>
        </w:rPr>
        <w:t xml:space="preserve"> unit was obtained indirect resour</w:t>
      </w:r>
      <w:r w:rsidRPr="005C446D">
        <w:rPr>
          <w:rFonts w:ascii="Times New Roman" w:hAnsi="Times New Roman"/>
          <w:color w:val="000000" w:themeColor="text1"/>
          <w:sz w:val="24"/>
          <w:szCs w:val="24"/>
        </w:rPr>
        <w:t xml:space="preserve">ce overhead cost of </w:t>
      </w:r>
      <w:proofErr w:type="spellStart"/>
      <w:r w:rsidRPr="005C446D">
        <w:rPr>
          <w:rFonts w:ascii="Times New Roman" w:hAnsi="Times New Roman"/>
          <w:color w:val="000000" w:themeColor="text1"/>
          <w:sz w:val="24"/>
          <w:szCs w:val="24"/>
        </w:rPr>
        <w:t>Rp</w:t>
      </w:r>
      <w:proofErr w:type="spellEnd"/>
      <w:r w:rsidRPr="005C446D">
        <w:rPr>
          <w:rFonts w:ascii="Times New Roman" w:hAnsi="Times New Roman"/>
          <w:color w:val="000000" w:themeColor="text1"/>
          <w:sz w:val="24"/>
          <w:szCs w:val="24"/>
        </w:rPr>
        <w:t>. 207,577.61, and direct resource overhead costs of Rp.208.247,74</w:t>
      </w:r>
      <w:r w:rsidR="005C14D1" w:rsidRPr="005C446D">
        <w:rPr>
          <w:rFonts w:ascii="Times New Roman" w:hAnsi="Times New Roman"/>
          <w:color w:val="000000" w:themeColor="text1"/>
          <w:sz w:val="24"/>
          <w:szCs w:val="24"/>
        </w:rPr>
        <w:t>.</w:t>
      </w:r>
    </w:p>
    <w:p w14:paraId="669605AD" w14:textId="77777777" w:rsidR="005C14D1" w:rsidRPr="005C446D" w:rsidRDefault="005C14D1" w:rsidP="00E278AB">
      <w:pPr>
        <w:pStyle w:val="ListParagraph"/>
        <w:spacing w:after="0" w:line="240" w:lineRule="auto"/>
        <w:ind w:left="426" w:hanging="426"/>
        <w:jc w:val="both"/>
        <w:rPr>
          <w:rFonts w:ascii="Times New Roman" w:hAnsi="Times New Roman"/>
          <w:color w:val="000000" w:themeColor="text1"/>
          <w:sz w:val="24"/>
          <w:szCs w:val="24"/>
        </w:rPr>
      </w:pPr>
    </w:p>
    <w:p w14:paraId="12D6FDB8" w14:textId="69202561" w:rsidR="00AC74A0" w:rsidRPr="005C446D" w:rsidRDefault="00AC74A0" w:rsidP="00E278AB">
      <w:pPr>
        <w:pStyle w:val="ListParagraph"/>
        <w:numPr>
          <w:ilvl w:val="0"/>
          <w:numId w:val="2"/>
        </w:numPr>
        <w:spacing w:after="0" w:line="240" w:lineRule="auto"/>
        <w:ind w:left="426" w:hanging="426"/>
        <w:jc w:val="both"/>
        <w:rPr>
          <w:rFonts w:ascii="Times New Roman" w:hAnsi="Times New Roman"/>
          <w:b/>
          <w:color w:val="000000" w:themeColor="text1"/>
          <w:sz w:val="24"/>
          <w:szCs w:val="24"/>
        </w:rPr>
      </w:pPr>
      <w:r w:rsidRPr="005C446D">
        <w:rPr>
          <w:rFonts w:ascii="Times New Roman" w:hAnsi="Times New Roman"/>
          <w:b/>
          <w:bCs/>
          <w:color w:val="000000" w:themeColor="text1"/>
          <w:sz w:val="24"/>
          <w:szCs w:val="24"/>
        </w:rPr>
        <w:t xml:space="preserve">Determine Activity Centers related to Patients Care for </w:t>
      </w:r>
      <w:r w:rsidR="005C14D1" w:rsidRPr="005C446D">
        <w:rPr>
          <w:rFonts w:ascii="Times New Roman" w:hAnsi="Times New Roman"/>
          <w:b/>
          <w:bCs/>
          <w:color w:val="000000" w:themeColor="text1"/>
          <w:sz w:val="24"/>
          <w:szCs w:val="24"/>
        </w:rPr>
        <w:t>Mild</w:t>
      </w:r>
      <w:r w:rsidRPr="005C446D">
        <w:rPr>
          <w:rFonts w:ascii="Times New Roman" w:hAnsi="Times New Roman"/>
          <w:b/>
          <w:bCs/>
          <w:color w:val="000000" w:themeColor="text1"/>
          <w:sz w:val="24"/>
          <w:szCs w:val="24"/>
        </w:rPr>
        <w:t xml:space="preserve"> Head Injuries contained in clinical pathways and charge overhead into each activity centers in the clinical pathway.</w:t>
      </w:r>
    </w:p>
    <w:p w14:paraId="5CD03A2F" w14:textId="77777777" w:rsidR="00AC74A0" w:rsidRPr="005C446D" w:rsidRDefault="00AC74A0" w:rsidP="00E278AB">
      <w:pPr>
        <w:pStyle w:val="ListParagraph"/>
        <w:numPr>
          <w:ilvl w:val="0"/>
          <w:numId w:val="9"/>
        </w:numPr>
        <w:spacing w:after="0" w:line="240" w:lineRule="auto"/>
        <w:ind w:left="851" w:hanging="426"/>
        <w:jc w:val="both"/>
        <w:rPr>
          <w:rFonts w:ascii="Times New Roman" w:hAnsi="Times New Roman"/>
          <w:color w:val="000000" w:themeColor="text1"/>
          <w:sz w:val="24"/>
          <w:szCs w:val="24"/>
          <w:lang w:val="id-ID"/>
        </w:rPr>
      </w:pPr>
      <w:r w:rsidRPr="005C446D">
        <w:rPr>
          <w:rFonts w:ascii="Times New Roman" w:hAnsi="Times New Roman"/>
          <w:color w:val="000000" w:themeColor="text1"/>
          <w:sz w:val="24"/>
          <w:szCs w:val="24"/>
          <w:lang w:val="id-ID"/>
        </w:rPr>
        <w:t>IGD</w:t>
      </w:r>
    </w:p>
    <w:p w14:paraId="3B54FBB6" w14:textId="7B3D1D00" w:rsidR="00AC74A0" w:rsidRPr="005C446D" w:rsidRDefault="00AC74A0" w:rsidP="00E278AB">
      <w:pPr>
        <w:pStyle w:val="ListParagraph"/>
        <w:spacing w:after="0" w:line="240" w:lineRule="auto"/>
        <w:ind w:left="851" w:firstLine="283"/>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The cost of Indirect resource overhead in IGD unit which has been calculated based on activity in clinical pathway for diagnosis of CKR, the total cost obtained is </w:t>
      </w:r>
      <w:r w:rsidRPr="005C446D">
        <w:rPr>
          <w:rFonts w:ascii="Times New Roman" w:hAnsi="Times New Roman"/>
          <w:color w:val="000000" w:themeColor="text1"/>
          <w:sz w:val="24"/>
          <w:szCs w:val="24"/>
        </w:rPr>
        <w:lastRenderedPageBreak/>
        <w:t xml:space="preserve">Rp.65.786,43, while the cost of direct </w:t>
      </w:r>
      <w:r w:rsidR="00FA6AEF" w:rsidRPr="005C446D">
        <w:rPr>
          <w:rFonts w:ascii="Times New Roman" w:hAnsi="Times New Roman"/>
          <w:color w:val="000000" w:themeColor="text1"/>
          <w:sz w:val="24"/>
          <w:szCs w:val="24"/>
        </w:rPr>
        <w:t>resource overhead on the</w:t>
      </w:r>
      <w:r w:rsidRPr="005C446D">
        <w:rPr>
          <w:rFonts w:ascii="Times New Roman" w:hAnsi="Times New Roman"/>
          <w:color w:val="000000" w:themeColor="text1"/>
          <w:sz w:val="24"/>
          <w:szCs w:val="24"/>
        </w:rPr>
        <w:t xml:space="preserve"> IGD</w:t>
      </w:r>
      <w:r w:rsidR="00FA6AEF" w:rsidRPr="005C446D">
        <w:rPr>
          <w:rFonts w:ascii="Times New Roman" w:hAnsi="Times New Roman"/>
          <w:color w:val="000000" w:themeColor="text1"/>
          <w:sz w:val="24"/>
          <w:szCs w:val="24"/>
        </w:rPr>
        <w:t xml:space="preserve"> unit</w:t>
      </w:r>
      <w:r w:rsidRPr="005C446D">
        <w:rPr>
          <w:rFonts w:ascii="Times New Roman" w:hAnsi="Times New Roman"/>
          <w:color w:val="000000" w:themeColor="text1"/>
          <w:sz w:val="24"/>
          <w:szCs w:val="24"/>
        </w:rPr>
        <w:t xml:space="preserve"> in total based on clinical pathway obtained cost calculation that is amounting to Rp.81.951,16</w:t>
      </w:r>
    </w:p>
    <w:p w14:paraId="46493867" w14:textId="77777777" w:rsidR="00AC74A0" w:rsidRPr="005C446D" w:rsidRDefault="00AC74A0" w:rsidP="00E278AB">
      <w:pPr>
        <w:pStyle w:val="ListParagraph"/>
        <w:numPr>
          <w:ilvl w:val="0"/>
          <w:numId w:val="9"/>
        </w:numPr>
        <w:spacing w:after="0" w:line="240" w:lineRule="auto"/>
        <w:ind w:left="851" w:hanging="426"/>
        <w:jc w:val="both"/>
        <w:rPr>
          <w:rFonts w:ascii="Times New Roman" w:hAnsi="Times New Roman"/>
          <w:color w:val="000000" w:themeColor="text1"/>
          <w:sz w:val="24"/>
          <w:szCs w:val="24"/>
          <w:lang w:val="id-ID"/>
        </w:rPr>
      </w:pPr>
      <w:r w:rsidRPr="005C446D">
        <w:rPr>
          <w:rFonts w:ascii="Times New Roman" w:hAnsi="Times New Roman"/>
          <w:color w:val="000000" w:themeColor="text1"/>
          <w:sz w:val="24"/>
          <w:szCs w:val="24"/>
        </w:rPr>
        <w:t>M</w:t>
      </w:r>
      <w:proofErr w:type="spellStart"/>
      <w:r w:rsidRPr="005C446D">
        <w:rPr>
          <w:rFonts w:ascii="Times New Roman" w:hAnsi="Times New Roman"/>
          <w:color w:val="000000" w:themeColor="text1"/>
          <w:sz w:val="24"/>
          <w:szCs w:val="24"/>
          <w:lang w:val="id-ID"/>
        </w:rPr>
        <w:t>elati</w:t>
      </w:r>
      <w:proofErr w:type="spellEnd"/>
      <w:r w:rsidRPr="005C446D">
        <w:rPr>
          <w:rFonts w:ascii="Times New Roman" w:hAnsi="Times New Roman"/>
          <w:color w:val="000000" w:themeColor="text1"/>
          <w:sz w:val="24"/>
          <w:szCs w:val="24"/>
        </w:rPr>
        <w:t xml:space="preserve"> Ward</w:t>
      </w:r>
    </w:p>
    <w:p w14:paraId="0205A59B" w14:textId="77777777" w:rsidR="00AC74A0" w:rsidRPr="005C446D" w:rsidRDefault="00AC74A0" w:rsidP="00E278AB">
      <w:pPr>
        <w:pStyle w:val="ListParagraph"/>
        <w:spacing w:after="0" w:line="240" w:lineRule="auto"/>
        <w:ind w:left="851" w:firstLine="283"/>
        <w:jc w:val="both"/>
        <w:rPr>
          <w:rFonts w:ascii="Times New Roman" w:hAnsi="Times New Roman"/>
          <w:color w:val="000000" w:themeColor="text1"/>
          <w:sz w:val="24"/>
          <w:szCs w:val="24"/>
          <w:lang w:val="id-ID"/>
        </w:rPr>
      </w:pPr>
      <w:r w:rsidRPr="005C446D">
        <w:rPr>
          <w:rFonts w:ascii="Times New Roman" w:hAnsi="Times New Roman"/>
          <w:color w:val="000000" w:themeColor="text1"/>
          <w:sz w:val="24"/>
          <w:szCs w:val="24"/>
        </w:rPr>
        <w:t xml:space="preserve">The </w:t>
      </w:r>
      <w:proofErr w:type="spellStart"/>
      <w:r w:rsidRPr="005C446D">
        <w:rPr>
          <w:rFonts w:ascii="Times New Roman" w:hAnsi="Times New Roman"/>
          <w:color w:val="000000" w:themeColor="text1"/>
          <w:sz w:val="24"/>
          <w:szCs w:val="24"/>
        </w:rPr>
        <w:t>i</w:t>
      </w:r>
      <w:r w:rsidRPr="005C446D">
        <w:rPr>
          <w:rFonts w:ascii="Times New Roman" w:hAnsi="Times New Roman"/>
          <w:color w:val="000000" w:themeColor="text1"/>
          <w:sz w:val="24"/>
          <w:szCs w:val="24"/>
          <w:lang w:val="id-ID"/>
        </w:rPr>
        <w:t>ndirect</w:t>
      </w:r>
      <w:proofErr w:type="spellEnd"/>
      <w:r w:rsidRPr="005C446D">
        <w:rPr>
          <w:rFonts w:ascii="Times New Roman" w:hAnsi="Times New Roman"/>
          <w:color w:val="000000" w:themeColor="text1"/>
          <w:sz w:val="24"/>
          <w:szCs w:val="24"/>
          <w:lang w:val="id-ID"/>
        </w:rPr>
        <w:t xml:space="preserve"> Resource </w:t>
      </w:r>
      <w:proofErr w:type="spellStart"/>
      <w:r w:rsidRPr="005C446D">
        <w:rPr>
          <w:rFonts w:ascii="Times New Roman" w:hAnsi="Times New Roman"/>
          <w:color w:val="000000" w:themeColor="text1"/>
          <w:sz w:val="24"/>
          <w:szCs w:val="24"/>
          <w:lang w:val="id-ID"/>
        </w:rPr>
        <w:t>Overhead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cost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calculation</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on</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rPr>
        <w:t>Melati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lang w:val="id-ID"/>
        </w:rPr>
        <w:t>Ward</w:t>
      </w:r>
      <w:proofErr w:type="spellEnd"/>
      <w:r w:rsidRPr="005C446D">
        <w:rPr>
          <w:rFonts w:ascii="Times New Roman" w:hAnsi="Times New Roman"/>
          <w:color w:val="000000" w:themeColor="text1"/>
          <w:sz w:val="24"/>
          <w:szCs w:val="24"/>
          <w:lang w:val="id-ID"/>
        </w:rPr>
        <w:t xml:space="preserve"> as </w:t>
      </w:r>
      <w:proofErr w:type="spellStart"/>
      <w:r w:rsidRPr="005C446D">
        <w:rPr>
          <w:rFonts w:ascii="Times New Roman" w:hAnsi="Times New Roman"/>
          <w:color w:val="000000" w:themeColor="text1"/>
          <w:sz w:val="24"/>
          <w:szCs w:val="24"/>
          <w:lang w:val="id-ID"/>
        </w:rPr>
        <w:t>calculated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based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on</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activity</w:t>
      </w:r>
      <w:proofErr w:type="spellEnd"/>
      <w:r w:rsidRPr="005C446D">
        <w:rPr>
          <w:rFonts w:ascii="Times New Roman" w:hAnsi="Times New Roman"/>
          <w:color w:val="000000" w:themeColor="text1"/>
          <w:sz w:val="24"/>
          <w:szCs w:val="24"/>
          <w:lang w:val="id-ID"/>
        </w:rPr>
        <w:t xml:space="preserve"> in </w:t>
      </w:r>
      <w:proofErr w:type="spellStart"/>
      <w:r w:rsidRPr="005C446D">
        <w:rPr>
          <w:rFonts w:ascii="Times New Roman" w:hAnsi="Times New Roman"/>
          <w:color w:val="000000" w:themeColor="text1"/>
          <w:sz w:val="24"/>
          <w:szCs w:val="24"/>
          <w:lang w:val="id-ID"/>
        </w:rPr>
        <w:t>clinical</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pathway</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was</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obtained</w:t>
      </w:r>
      <w:proofErr w:type="spellEnd"/>
      <w:r w:rsidRPr="005C446D">
        <w:rPr>
          <w:rFonts w:ascii="Times New Roman" w:hAnsi="Times New Roman"/>
          <w:color w:val="000000" w:themeColor="text1"/>
          <w:sz w:val="24"/>
          <w:szCs w:val="24"/>
          <w:lang w:val="id-ID"/>
        </w:rPr>
        <w:t xml:space="preserve"> total </w:t>
      </w:r>
      <w:proofErr w:type="spellStart"/>
      <w:r w:rsidRPr="005C446D">
        <w:rPr>
          <w:rFonts w:ascii="Times New Roman" w:hAnsi="Times New Roman"/>
          <w:color w:val="000000" w:themeColor="text1"/>
          <w:sz w:val="24"/>
          <w:szCs w:val="24"/>
          <w:lang w:val="id-ID"/>
        </w:rPr>
        <w:t>cost</w:t>
      </w:r>
      <w:proofErr w:type="spellEnd"/>
      <w:r w:rsidRPr="005C446D">
        <w:rPr>
          <w:rFonts w:ascii="Times New Roman" w:hAnsi="Times New Roman"/>
          <w:color w:val="000000" w:themeColor="text1"/>
          <w:sz w:val="24"/>
          <w:szCs w:val="24"/>
          <w:lang w:val="id-ID"/>
        </w:rPr>
        <w:t xml:space="preserve"> Rp.560.258,01, </w:t>
      </w:r>
      <w:proofErr w:type="spellStart"/>
      <w:r w:rsidRPr="005C446D">
        <w:rPr>
          <w:rFonts w:ascii="Times New Roman" w:hAnsi="Times New Roman"/>
          <w:color w:val="000000" w:themeColor="text1"/>
          <w:sz w:val="24"/>
          <w:szCs w:val="24"/>
          <w:lang w:val="id-ID"/>
        </w:rPr>
        <w:t>while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the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cost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direct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resource</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overhead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based</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on</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activity</w:t>
      </w:r>
      <w:proofErr w:type="spellEnd"/>
      <w:r w:rsidRPr="005C446D">
        <w:rPr>
          <w:rFonts w:ascii="Times New Roman" w:hAnsi="Times New Roman"/>
          <w:color w:val="000000" w:themeColor="text1"/>
          <w:sz w:val="24"/>
          <w:szCs w:val="24"/>
          <w:lang w:val="id-ID"/>
        </w:rPr>
        <w:t xml:space="preserve"> in </w:t>
      </w:r>
      <w:proofErr w:type="spellStart"/>
      <w:r w:rsidRPr="005C446D">
        <w:rPr>
          <w:rFonts w:ascii="Times New Roman" w:hAnsi="Times New Roman"/>
          <w:color w:val="000000" w:themeColor="text1"/>
          <w:sz w:val="24"/>
          <w:szCs w:val="24"/>
          <w:lang w:val="id-ID"/>
        </w:rPr>
        <w:t>clinical</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pathway</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at</w:t>
      </w:r>
      <w:proofErr w:type="spellEnd"/>
      <w:r w:rsidRPr="005C446D">
        <w:rPr>
          <w:rFonts w:ascii="Times New Roman" w:hAnsi="Times New Roman"/>
          <w:color w:val="000000" w:themeColor="text1"/>
          <w:sz w:val="24"/>
          <w:szCs w:val="24"/>
          <w:lang w:val="id-ID"/>
        </w:rPr>
        <w:t xml:space="preserve"> Melati </w:t>
      </w:r>
      <w:proofErr w:type="spellStart"/>
      <w:r w:rsidRPr="005C446D">
        <w:rPr>
          <w:rFonts w:ascii="Times New Roman" w:hAnsi="Times New Roman"/>
          <w:color w:val="000000" w:themeColor="text1"/>
          <w:sz w:val="24"/>
          <w:szCs w:val="24"/>
          <w:lang w:val="id-ID"/>
        </w:rPr>
        <w:t>wards</w:t>
      </w:r>
      <w:proofErr w:type="spellEnd"/>
      <w:r w:rsidRPr="005C446D">
        <w:rPr>
          <w:rFonts w:ascii="Times New Roman" w:hAnsi="Times New Roman"/>
          <w:color w:val="000000" w:themeColor="text1"/>
          <w:sz w:val="24"/>
          <w:szCs w:val="24"/>
          <w:lang w:val="id-ID"/>
        </w:rPr>
        <w:t xml:space="preserve"> unit, </w:t>
      </w:r>
      <w:proofErr w:type="spellStart"/>
      <w:r w:rsidRPr="005C446D">
        <w:rPr>
          <w:rFonts w:ascii="Times New Roman" w:hAnsi="Times New Roman"/>
          <w:color w:val="000000" w:themeColor="text1"/>
          <w:sz w:val="24"/>
          <w:szCs w:val="24"/>
          <w:lang w:val="id-ID"/>
        </w:rPr>
        <w:t>obtained</w:t>
      </w:r>
      <w:proofErr w:type="spellEnd"/>
      <w:r w:rsidRPr="005C446D">
        <w:rPr>
          <w:rFonts w:ascii="Times New Roman" w:hAnsi="Times New Roman"/>
          <w:color w:val="000000" w:themeColor="text1"/>
          <w:sz w:val="24"/>
          <w:szCs w:val="24"/>
          <w:lang w:val="id-ID"/>
        </w:rPr>
        <w:t xml:space="preserve"> total </w:t>
      </w:r>
      <w:proofErr w:type="spellStart"/>
      <w:r w:rsidRPr="005C446D">
        <w:rPr>
          <w:rFonts w:ascii="Times New Roman" w:hAnsi="Times New Roman"/>
          <w:color w:val="000000" w:themeColor="text1"/>
          <w:sz w:val="24"/>
          <w:szCs w:val="24"/>
          <w:lang w:val="id-ID"/>
        </w:rPr>
        <w:t>cost</w:t>
      </w:r>
      <w:proofErr w:type="spellEnd"/>
      <w:r w:rsidRPr="005C446D">
        <w:rPr>
          <w:rFonts w:ascii="Times New Roman" w:hAnsi="Times New Roman"/>
          <w:color w:val="000000" w:themeColor="text1"/>
          <w:sz w:val="24"/>
          <w:szCs w:val="24"/>
          <w:lang w:val="id-ID"/>
        </w:rPr>
        <w:t xml:space="preserve"> </w:t>
      </w:r>
      <w:proofErr w:type="spellStart"/>
      <w:r w:rsidRPr="005C446D">
        <w:rPr>
          <w:rFonts w:ascii="Times New Roman" w:hAnsi="Times New Roman"/>
          <w:color w:val="000000" w:themeColor="text1"/>
          <w:sz w:val="24"/>
          <w:szCs w:val="24"/>
          <w:lang w:val="id-ID"/>
        </w:rPr>
        <w:t>of</w:t>
      </w:r>
      <w:proofErr w:type="spellEnd"/>
      <w:r w:rsidRPr="005C446D">
        <w:rPr>
          <w:rFonts w:ascii="Times New Roman" w:hAnsi="Times New Roman"/>
          <w:color w:val="000000" w:themeColor="text1"/>
          <w:sz w:val="24"/>
          <w:szCs w:val="24"/>
          <w:lang w:val="id-ID"/>
        </w:rPr>
        <w:t xml:space="preserve"> Rp.562.066,70</w:t>
      </w:r>
    </w:p>
    <w:p w14:paraId="43E7F7EB" w14:textId="77777777" w:rsidR="005C14D1" w:rsidRPr="005C446D" w:rsidRDefault="005C14D1" w:rsidP="00E278AB">
      <w:pPr>
        <w:pStyle w:val="ListParagraph"/>
        <w:spacing w:after="0" w:line="240" w:lineRule="auto"/>
        <w:ind w:left="426" w:hanging="426"/>
        <w:jc w:val="both"/>
        <w:rPr>
          <w:rFonts w:ascii="Times New Roman" w:hAnsi="Times New Roman"/>
          <w:color w:val="000000" w:themeColor="text1"/>
          <w:sz w:val="24"/>
          <w:szCs w:val="24"/>
          <w:lang w:val="id-ID"/>
        </w:rPr>
      </w:pPr>
    </w:p>
    <w:p w14:paraId="2DAEEB26" w14:textId="77777777" w:rsidR="00AC74A0" w:rsidRPr="005C446D" w:rsidRDefault="00AC74A0" w:rsidP="00E278AB">
      <w:pPr>
        <w:pStyle w:val="ListParagraph"/>
        <w:numPr>
          <w:ilvl w:val="0"/>
          <w:numId w:val="2"/>
        </w:numPr>
        <w:spacing w:after="0" w:line="240" w:lineRule="auto"/>
        <w:ind w:left="426" w:hanging="426"/>
        <w:jc w:val="both"/>
        <w:rPr>
          <w:rFonts w:ascii="Times New Roman" w:hAnsi="Times New Roman"/>
          <w:b/>
          <w:color w:val="000000" w:themeColor="text1"/>
          <w:sz w:val="24"/>
          <w:szCs w:val="24"/>
        </w:rPr>
      </w:pPr>
      <w:r w:rsidRPr="005C446D">
        <w:rPr>
          <w:rFonts w:ascii="Times New Roman" w:hAnsi="Times New Roman"/>
          <w:b/>
          <w:bCs/>
          <w:color w:val="000000" w:themeColor="text1"/>
          <w:sz w:val="24"/>
          <w:szCs w:val="24"/>
        </w:rPr>
        <w:t xml:space="preserve">Summing up the direct costs and overheads in the Light Head Injury Patient care in RSUD </w:t>
      </w:r>
      <w:proofErr w:type="spellStart"/>
      <w:r w:rsidRPr="005C446D">
        <w:rPr>
          <w:rFonts w:ascii="Times New Roman" w:hAnsi="Times New Roman"/>
          <w:b/>
          <w:bCs/>
          <w:color w:val="000000" w:themeColor="text1"/>
          <w:sz w:val="24"/>
          <w:szCs w:val="24"/>
        </w:rPr>
        <w:t>Panembahan</w:t>
      </w:r>
      <w:proofErr w:type="spellEnd"/>
      <w:r w:rsidRPr="005C446D">
        <w:rPr>
          <w:rFonts w:ascii="Times New Roman" w:hAnsi="Times New Roman"/>
          <w:b/>
          <w:bCs/>
          <w:color w:val="000000" w:themeColor="text1"/>
          <w:sz w:val="24"/>
          <w:szCs w:val="24"/>
        </w:rPr>
        <w:t xml:space="preserve"> </w:t>
      </w:r>
      <w:proofErr w:type="spellStart"/>
      <w:r w:rsidRPr="005C446D">
        <w:rPr>
          <w:rFonts w:ascii="Times New Roman" w:hAnsi="Times New Roman"/>
          <w:b/>
          <w:bCs/>
          <w:color w:val="000000" w:themeColor="text1"/>
          <w:sz w:val="24"/>
          <w:szCs w:val="24"/>
        </w:rPr>
        <w:t>Senopati</w:t>
      </w:r>
      <w:proofErr w:type="spellEnd"/>
      <w:r w:rsidRPr="005C446D">
        <w:rPr>
          <w:rFonts w:ascii="Times New Roman" w:hAnsi="Times New Roman"/>
          <w:b/>
          <w:bCs/>
          <w:color w:val="000000" w:themeColor="text1"/>
          <w:sz w:val="24"/>
          <w:szCs w:val="24"/>
        </w:rPr>
        <w:t xml:space="preserve"> </w:t>
      </w:r>
      <w:proofErr w:type="spellStart"/>
      <w:r w:rsidRPr="005C446D">
        <w:rPr>
          <w:rFonts w:ascii="Times New Roman" w:hAnsi="Times New Roman"/>
          <w:b/>
          <w:bCs/>
          <w:color w:val="000000" w:themeColor="text1"/>
          <w:sz w:val="24"/>
          <w:szCs w:val="24"/>
        </w:rPr>
        <w:t>Bantul</w:t>
      </w:r>
      <w:proofErr w:type="spellEnd"/>
      <w:r w:rsidRPr="005C446D">
        <w:rPr>
          <w:rFonts w:ascii="Times New Roman" w:hAnsi="Times New Roman"/>
          <w:b/>
          <w:bCs/>
          <w:color w:val="000000" w:themeColor="text1"/>
          <w:sz w:val="24"/>
          <w:szCs w:val="24"/>
        </w:rPr>
        <w:t xml:space="preserve">. </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93"/>
        <w:gridCol w:w="1701"/>
        <w:gridCol w:w="2268"/>
        <w:gridCol w:w="2126"/>
      </w:tblGrid>
      <w:tr w:rsidR="005C446D" w:rsidRPr="005C446D" w14:paraId="07F1C748" w14:textId="77777777" w:rsidTr="004C4110">
        <w:trPr>
          <w:trHeight w:val="384"/>
        </w:trPr>
        <w:tc>
          <w:tcPr>
            <w:tcW w:w="6662" w:type="dxa"/>
            <w:gridSpan w:val="3"/>
            <w:vAlign w:val="center"/>
          </w:tcPr>
          <w:p w14:paraId="2A7FE15B" w14:textId="77777777" w:rsidR="00AC74A0" w:rsidRPr="005C446D" w:rsidRDefault="00AC74A0" w:rsidP="00AC74A0">
            <w:pPr>
              <w:widowControl w:val="0"/>
              <w:autoSpaceDE w:val="0"/>
              <w:autoSpaceDN w:val="0"/>
              <w:adjustRightInd w:val="0"/>
              <w:jc w:val="center"/>
              <w:rPr>
                <w:rFonts w:ascii="Times New Roman" w:hAnsi="Times New Roman"/>
                <w:color w:val="000000" w:themeColor="text1"/>
                <w:sz w:val="24"/>
                <w:szCs w:val="24"/>
              </w:rPr>
            </w:pPr>
            <w:r w:rsidRPr="005C446D">
              <w:rPr>
                <w:rFonts w:ascii="Times New Roman" w:hAnsi="Times New Roman"/>
                <w:bCs/>
                <w:color w:val="000000" w:themeColor="text1"/>
                <w:sz w:val="24"/>
                <w:szCs w:val="24"/>
              </w:rPr>
              <w:t>Structure of Cost</w:t>
            </w:r>
          </w:p>
        </w:tc>
        <w:tc>
          <w:tcPr>
            <w:tcW w:w="2126" w:type="dxa"/>
            <w:vAlign w:val="center"/>
          </w:tcPr>
          <w:p w14:paraId="06F534A8" w14:textId="77777777" w:rsidR="00AC74A0" w:rsidRPr="005C446D" w:rsidRDefault="00AC74A0" w:rsidP="00AC74A0">
            <w:pPr>
              <w:widowControl w:val="0"/>
              <w:autoSpaceDE w:val="0"/>
              <w:autoSpaceDN w:val="0"/>
              <w:adjustRightInd w:val="0"/>
              <w:jc w:val="center"/>
              <w:rPr>
                <w:rFonts w:ascii="Times New Roman" w:hAnsi="Times New Roman"/>
                <w:color w:val="000000" w:themeColor="text1"/>
                <w:sz w:val="24"/>
                <w:szCs w:val="24"/>
              </w:rPr>
            </w:pPr>
            <w:r w:rsidRPr="005C446D">
              <w:rPr>
                <w:rFonts w:ascii="Times New Roman" w:hAnsi="Times New Roman"/>
                <w:bCs/>
                <w:color w:val="000000" w:themeColor="text1"/>
                <w:sz w:val="24"/>
                <w:szCs w:val="24"/>
              </w:rPr>
              <w:t>Cost</w:t>
            </w:r>
          </w:p>
        </w:tc>
      </w:tr>
      <w:tr w:rsidR="005C446D" w:rsidRPr="005C446D" w14:paraId="689939A4" w14:textId="77777777" w:rsidTr="004C4110">
        <w:trPr>
          <w:trHeight w:val="369"/>
        </w:trPr>
        <w:tc>
          <w:tcPr>
            <w:tcW w:w="6662" w:type="dxa"/>
            <w:gridSpan w:val="3"/>
            <w:vAlign w:val="center"/>
          </w:tcPr>
          <w:p w14:paraId="6176DC1D" w14:textId="77777777" w:rsidR="00AC74A0" w:rsidRPr="005C446D" w:rsidRDefault="00AC74A0" w:rsidP="00AC74A0">
            <w:pPr>
              <w:widowControl w:val="0"/>
              <w:autoSpaceDE w:val="0"/>
              <w:autoSpaceDN w:val="0"/>
              <w:adjustRightInd w:val="0"/>
              <w:ind w:right="20"/>
              <w:rPr>
                <w:rFonts w:ascii="Times New Roman" w:hAnsi="Times New Roman"/>
                <w:bCs/>
                <w:color w:val="000000" w:themeColor="text1"/>
                <w:sz w:val="24"/>
                <w:szCs w:val="24"/>
              </w:rPr>
            </w:pPr>
            <w:r w:rsidRPr="005C446D">
              <w:rPr>
                <w:rFonts w:ascii="Times New Roman" w:hAnsi="Times New Roman"/>
                <w:b/>
                <w:bCs/>
                <w:color w:val="000000" w:themeColor="text1"/>
                <w:sz w:val="24"/>
                <w:szCs w:val="24"/>
              </w:rPr>
              <w:t>Direct Cost Diagnosis Light head injury</w:t>
            </w:r>
          </w:p>
        </w:tc>
        <w:tc>
          <w:tcPr>
            <w:tcW w:w="2126" w:type="dxa"/>
            <w:vAlign w:val="center"/>
          </w:tcPr>
          <w:p w14:paraId="27E71EE7" w14:textId="77777777" w:rsidR="00AC74A0" w:rsidRPr="005C446D" w:rsidRDefault="00AC74A0" w:rsidP="00AC74A0">
            <w:pPr>
              <w:widowControl w:val="0"/>
              <w:autoSpaceDE w:val="0"/>
              <w:autoSpaceDN w:val="0"/>
              <w:adjustRightInd w:val="0"/>
              <w:ind w:right="20"/>
              <w:rPr>
                <w:rFonts w:ascii="Times New Roman" w:hAnsi="Times New Roman"/>
                <w:color w:val="000000" w:themeColor="text1"/>
                <w:sz w:val="24"/>
                <w:szCs w:val="24"/>
              </w:rPr>
            </w:pPr>
          </w:p>
        </w:tc>
      </w:tr>
      <w:tr w:rsidR="005C446D" w:rsidRPr="005C446D" w14:paraId="08AD683A" w14:textId="77777777" w:rsidTr="004C4110">
        <w:trPr>
          <w:trHeight w:val="182"/>
        </w:trPr>
        <w:tc>
          <w:tcPr>
            <w:tcW w:w="4394" w:type="dxa"/>
            <w:gridSpan w:val="2"/>
            <w:vAlign w:val="center"/>
          </w:tcPr>
          <w:p w14:paraId="59452B7B" w14:textId="77777777" w:rsidR="00AC74A0" w:rsidRPr="005C446D" w:rsidRDefault="00AC74A0" w:rsidP="00AC74A0">
            <w:pPr>
              <w:widowControl w:val="0"/>
              <w:autoSpaceDE w:val="0"/>
              <w:autoSpaceDN w:val="0"/>
              <w:adjustRightInd w:val="0"/>
              <w:rPr>
                <w:rFonts w:ascii="Times New Roman" w:hAnsi="Times New Roman"/>
                <w:color w:val="000000" w:themeColor="text1"/>
                <w:sz w:val="24"/>
                <w:szCs w:val="24"/>
              </w:rPr>
            </w:pPr>
            <w:r w:rsidRPr="005C446D">
              <w:rPr>
                <w:rFonts w:ascii="Times New Roman" w:hAnsi="Times New Roman"/>
                <w:color w:val="000000" w:themeColor="text1"/>
                <w:sz w:val="24"/>
                <w:szCs w:val="24"/>
              </w:rPr>
              <w:t>IGD</w:t>
            </w:r>
          </w:p>
        </w:tc>
        <w:tc>
          <w:tcPr>
            <w:tcW w:w="2268" w:type="dxa"/>
            <w:vAlign w:val="center"/>
          </w:tcPr>
          <w:p w14:paraId="4DA204E5" w14:textId="77777777" w:rsidR="00AC74A0" w:rsidRPr="005C446D" w:rsidRDefault="00AC74A0" w:rsidP="00AC74A0">
            <w:pPr>
              <w:widowControl w:val="0"/>
              <w:autoSpaceDE w:val="0"/>
              <w:autoSpaceDN w:val="0"/>
              <w:adjustRightInd w:val="0"/>
              <w:ind w:right="142"/>
              <w:jc w:val="center"/>
              <w:rPr>
                <w:rFonts w:ascii="Times New Roman" w:hAnsi="Times New Roman"/>
                <w:color w:val="000000" w:themeColor="text1"/>
                <w:sz w:val="24"/>
                <w:szCs w:val="24"/>
              </w:rPr>
            </w:pPr>
            <w:r w:rsidRPr="005C446D">
              <w:rPr>
                <w:rFonts w:ascii="Times New Roman" w:hAnsi="Times New Roman"/>
                <w:color w:val="000000" w:themeColor="text1"/>
                <w:sz w:val="24"/>
                <w:szCs w:val="24"/>
              </w:rPr>
              <w:t>783.176</w:t>
            </w:r>
          </w:p>
        </w:tc>
        <w:tc>
          <w:tcPr>
            <w:tcW w:w="2126" w:type="dxa"/>
            <w:vAlign w:val="center"/>
          </w:tcPr>
          <w:p w14:paraId="5BA29EA8" w14:textId="77777777" w:rsidR="00AC74A0" w:rsidRPr="005C446D" w:rsidRDefault="00AC74A0" w:rsidP="00AC74A0">
            <w:pPr>
              <w:widowControl w:val="0"/>
              <w:autoSpaceDE w:val="0"/>
              <w:autoSpaceDN w:val="0"/>
              <w:adjustRightInd w:val="0"/>
              <w:ind w:right="142"/>
              <w:jc w:val="center"/>
              <w:rPr>
                <w:rFonts w:ascii="Times New Roman" w:hAnsi="Times New Roman"/>
                <w:color w:val="000000" w:themeColor="text1"/>
                <w:sz w:val="24"/>
                <w:szCs w:val="24"/>
              </w:rPr>
            </w:pPr>
            <w:r w:rsidRPr="005C446D">
              <w:rPr>
                <w:rFonts w:ascii="Times New Roman" w:hAnsi="Times New Roman"/>
                <w:color w:val="000000" w:themeColor="text1"/>
                <w:sz w:val="24"/>
                <w:szCs w:val="24"/>
              </w:rPr>
              <w:t>1.031.927,00</w:t>
            </w:r>
          </w:p>
        </w:tc>
      </w:tr>
      <w:tr w:rsidR="005C446D" w:rsidRPr="005C446D" w14:paraId="5526A0C0" w14:textId="77777777" w:rsidTr="004C4110">
        <w:trPr>
          <w:trHeight w:val="287"/>
        </w:trPr>
        <w:tc>
          <w:tcPr>
            <w:tcW w:w="4394" w:type="dxa"/>
            <w:gridSpan w:val="2"/>
            <w:vAlign w:val="center"/>
          </w:tcPr>
          <w:p w14:paraId="7F8440B3" w14:textId="77777777" w:rsidR="00AC74A0" w:rsidRPr="005C446D" w:rsidRDefault="00AC74A0" w:rsidP="00AC74A0">
            <w:pPr>
              <w:widowControl w:val="0"/>
              <w:autoSpaceDE w:val="0"/>
              <w:autoSpaceDN w:val="0"/>
              <w:adjustRightInd w:val="0"/>
              <w:rPr>
                <w:rFonts w:ascii="Times New Roman" w:hAnsi="Times New Roman"/>
                <w:bCs/>
                <w:i/>
                <w:iCs/>
                <w:color w:val="000000" w:themeColor="text1"/>
                <w:sz w:val="24"/>
                <w:szCs w:val="24"/>
              </w:rPr>
            </w:pPr>
            <w:proofErr w:type="spellStart"/>
            <w:r w:rsidRPr="005C446D">
              <w:rPr>
                <w:rFonts w:ascii="Times New Roman" w:hAnsi="Times New Roman"/>
                <w:bCs/>
                <w:color w:val="000000" w:themeColor="text1"/>
                <w:sz w:val="24"/>
                <w:szCs w:val="24"/>
              </w:rPr>
              <w:t>Bangsal</w:t>
            </w:r>
            <w:proofErr w:type="spellEnd"/>
            <w:r w:rsidRPr="005C446D">
              <w:rPr>
                <w:rFonts w:ascii="Times New Roman" w:hAnsi="Times New Roman"/>
                <w:bCs/>
                <w:color w:val="000000" w:themeColor="text1"/>
                <w:sz w:val="24"/>
                <w:szCs w:val="24"/>
              </w:rPr>
              <w:t xml:space="preserve"> </w:t>
            </w:r>
            <w:proofErr w:type="spellStart"/>
            <w:r w:rsidRPr="005C446D">
              <w:rPr>
                <w:rFonts w:ascii="Times New Roman" w:hAnsi="Times New Roman"/>
                <w:bCs/>
                <w:color w:val="000000" w:themeColor="text1"/>
                <w:sz w:val="24"/>
                <w:szCs w:val="24"/>
              </w:rPr>
              <w:t>Melati</w:t>
            </w:r>
            <w:proofErr w:type="spellEnd"/>
          </w:p>
        </w:tc>
        <w:tc>
          <w:tcPr>
            <w:tcW w:w="2268" w:type="dxa"/>
            <w:vAlign w:val="center"/>
          </w:tcPr>
          <w:p w14:paraId="0FB305BF" w14:textId="77777777" w:rsidR="00AC74A0" w:rsidRPr="005C446D" w:rsidRDefault="00AC74A0" w:rsidP="00AC74A0">
            <w:pPr>
              <w:widowControl w:val="0"/>
              <w:autoSpaceDE w:val="0"/>
              <w:autoSpaceDN w:val="0"/>
              <w:adjustRightInd w:val="0"/>
              <w:ind w:right="142"/>
              <w:jc w:val="center"/>
              <w:rPr>
                <w:rFonts w:ascii="Times New Roman" w:hAnsi="Times New Roman"/>
                <w:color w:val="000000" w:themeColor="text1"/>
                <w:sz w:val="24"/>
                <w:szCs w:val="24"/>
              </w:rPr>
            </w:pPr>
            <w:r w:rsidRPr="005C446D">
              <w:rPr>
                <w:rFonts w:ascii="Times New Roman" w:hAnsi="Times New Roman"/>
                <w:bCs/>
                <w:color w:val="000000" w:themeColor="text1"/>
                <w:sz w:val="24"/>
                <w:szCs w:val="24"/>
              </w:rPr>
              <w:t>248.751</w:t>
            </w:r>
          </w:p>
        </w:tc>
        <w:tc>
          <w:tcPr>
            <w:tcW w:w="2126" w:type="dxa"/>
            <w:vAlign w:val="center"/>
          </w:tcPr>
          <w:p w14:paraId="61F02775" w14:textId="77777777" w:rsidR="00AC74A0" w:rsidRPr="005C446D" w:rsidRDefault="00AC74A0" w:rsidP="00AC74A0">
            <w:pPr>
              <w:widowControl w:val="0"/>
              <w:autoSpaceDE w:val="0"/>
              <w:autoSpaceDN w:val="0"/>
              <w:adjustRightInd w:val="0"/>
              <w:ind w:right="142"/>
              <w:jc w:val="center"/>
              <w:rPr>
                <w:rFonts w:ascii="Times New Roman" w:hAnsi="Times New Roman"/>
                <w:color w:val="000000" w:themeColor="text1"/>
                <w:sz w:val="24"/>
                <w:szCs w:val="24"/>
              </w:rPr>
            </w:pPr>
          </w:p>
        </w:tc>
      </w:tr>
      <w:tr w:rsidR="005C446D" w:rsidRPr="005C446D" w14:paraId="2B1F203E" w14:textId="77777777" w:rsidTr="004C4110">
        <w:trPr>
          <w:trHeight w:val="796"/>
        </w:trPr>
        <w:tc>
          <w:tcPr>
            <w:tcW w:w="2693" w:type="dxa"/>
            <w:vAlign w:val="center"/>
          </w:tcPr>
          <w:p w14:paraId="45F1B925" w14:textId="77777777" w:rsidR="00AC74A0" w:rsidRPr="005C446D" w:rsidRDefault="00AC74A0" w:rsidP="00AC74A0">
            <w:pPr>
              <w:widowControl w:val="0"/>
              <w:autoSpaceDE w:val="0"/>
              <w:autoSpaceDN w:val="0"/>
              <w:adjustRightInd w:val="0"/>
              <w:rPr>
                <w:rFonts w:ascii="Times New Roman" w:hAnsi="Times New Roman"/>
                <w:bCs/>
                <w:color w:val="000000" w:themeColor="text1"/>
                <w:sz w:val="24"/>
                <w:szCs w:val="24"/>
              </w:rPr>
            </w:pPr>
            <w:r w:rsidRPr="005C446D">
              <w:rPr>
                <w:rFonts w:ascii="Times New Roman" w:hAnsi="Times New Roman"/>
                <w:bCs/>
                <w:i/>
                <w:iCs/>
                <w:color w:val="000000" w:themeColor="text1"/>
                <w:sz w:val="24"/>
                <w:szCs w:val="24"/>
              </w:rPr>
              <w:t>Overhead Cost</w:t>
            </w:r>
          </w:p>
        </w:tc>
        <w:tc>
          <w:tcPr>
            <w:tcW w:w="1701" w:type="dxa"/>
            <w:vAlign w:val="center"/>
          </w:tcPr>
          <w:p w14:paraId="6558A0A6" w14:textId="77777777" w:rsidR="00AC74A0" w:rsidRPr="005C446D" w:rsidRDefault="00AC74A0" w:rsidP="00AC74A0">
            <w:pPr>
              <w:widowControl w:val="0"/>
              <w:autoSpaceDE w:val="0"/>
              <w:autoSpaceDN w:val="0"/>
              <w:adjustRightInd w:val="0"/>
              <w:jc w:val="center"/>
              <w:rPr>
                <w:rFonts w:ascii="Times New Roman" w:hAnsi="Times New Roman"/>
                <w:bCs/>
                <w:i/>
                <w:iCs/>
                <w:color w:val="000000" w:themeColor="text1"/>
                <w:sz w:val="24"/>
                <w:szCs w:val="24"/>
              </w:rPr>
            </w:pPr>
            <w:r w:rsidRPr="005C446D">
              <w:rPr>
                <w:rFonts w:ascii="Times New Roman" w:hAnsi="Times New Roman"/>
                <w:bCs/>
                <w:i/>
                <w:iCs/>
                <w:color w:val="000000" w:themeColor="text1"/>
                <w:sz w:val="24"/>
                <w:szCs w:val="24"/>
              </w:rPr>
              <w:t>Indirect Resource Overhead</w:t>
            </w:r>
          </w:p>
        </w:tc>
        <w:tc>
          <w:tcPr>
            <w:tcW w:w="2268" w:type="dxa"/>
            <w:vAlign w:val="center"/>
          </w:tcPr>
          <w:p w14:paraId="1417E2D7" w14:textId="77777777" w:rsidR="00AC74A0" w:rsidRPr="005C446D" w:rsidRDefault="00AC74A0" w:rsidP="00AC74A0">
            <w:pPr>
              <w:widowControl w:val="0"/>
              <w:autoSpaceDE w:val="0"/>
              <w:autoSpaceDN w:val="0"/>
              <w:adjustRightInd w:val="0"/>
              <w:jc w:val="center"/>
              <w:rPr>
                <w:rFonts w:ascii="Times New Roman" w:hAnsi="Times New Roman"/>
                <w:bCs/>
                <w:i/>
                <w:iCs/>
                <w:color w:val="000000" w:themeColor="text1"/>
                <w:sz w:val="24"/>
                <w:szCs w:val="24"/>
              </w:rPr>
            </w:pPr>
            <w:r w:rsidRPr="005C446D">
              <w:rPr>
                <w:rFonts w:ascii="Times New Roman" w:hAnsi="Times New Roman"/>
                <w:bCs/>
                <w:i/>
                <w:iCs/>
                <w:color w:val="000000" w:themeColor="text1"/>
                <w:sz w:val="24"/>
                <w:szCs w:val="24"/>
              </w:rPr>
              <w:t>Direct Resource Overhead</w:t>
            </w:r>
          </w:p>
        </w:tc>
        <w:tc>
          <w:tcPr>
            <w:tcW w:w="2126" w:type="dxa"/>
            <w:vAlign w:val="center"/>
          </w:tcPr>
          <w:p w14:paraId="7366001C" w14:textId="77777777" w:rsidR="00AC74A0" w:rsidRPr="005C446D" w:rsidRDefault="00AC74A0" w:rsidP="00AC74A0">
            <w:pPr>
              <w:widowControl w:val="0"/>
              <w:autoSpaceDE w:val="0"/>
              <w:autoSpaceDN w:val="0"/>
              <w:adjustRightInd w:val="0"/>
              <w:ind w:right="142"/>
              <w:jc w:val="center"/>
              <w:rPr>
                <w:rFonts w:ascii="Times New Roman" w:hAnsi="Times New Roman"/>
                <w:i/>
                <w:color w:val="000000" w:themeColor="text1"/>
                <w:sz w:val="24"/>
                <w:szCs w:val="24"/>
              </w:rPr>
            </w:pPr>
            <w:r w:rsidRPr="005C446D">
              <w:rPr>
                <w:rFonts w:ascii="Times New Roman" w:hAnsi="Times New Roman"/>
                <w:i/>
                <w:color w:val="000000" w:themeColor="text1"/>
                <w:sz w:val="24"/>
                <w:szCs w:val="24"/>
              </w:rPr>
              <w:t>Total Overhead</w:t>
            </w:r>
          </w:p>
        </w:tc>
      </w:tr>
      <w:tr w:rsidR="005C446D" w:rsidRPr="005C446D" w14:paraId="43BBFB0A" w14:textId="77777777" w:rsidTr="004C4110">
        <w:trPr>
          <w:trHeight w:val="497"/>
        </w:trPr>
        <w:tc>
          <w:tcPr>
            <w:tcW w:w="2693" w:type="dxa"/>
            <w:vAlign w:val="center"/>
          </w:tcPr>
          <w:p w14:paraId="6424BDEB" w14:textId="77777777" w:rsidR="00AC74A0" w:rsidRPr="005C446D" w:rsidRDefault="00AC74A0" w:rsidP="00AC74A0">
            <w:pPr>
              <w:widowControl w:val="0"/>
              <w:autoSpaceDE w:val="0"/>
              <w:autoSpaceDN w:val="0"/>
              <w:adjustRightInd w:val="0"/>
              <w:rPr>
                <w:rFonts w:ascii="Times New Roman" w:hAnsi="Times New Roman"/>
                <w:color w:val="000000" w:themeColor="text1"/>
                <w:sz w:val="24"/>
                <w:szCs w:val="24"/>
              </w:rPr>
            </w:pPr>
            <w:r w:rsidRPr="005C446D">
              <w:rPr>
                <w:rFonts w:ascii="Times New Roman" w:hAnsi="Times New Roman"/>
                <w:bCs/>
                <w:i/>
                <w:iCs/>
                <w:color w:val="000000" w:themeColor="text1"/>
                <w:sz w:val="24"/>
                <w:szCs w:val="24"/>
              </w:rPr>
              <w:t xml:space="preserve">Overhead Cost of </w:t>
            </w:r>
          </w:p>
          <w:p w14:paraId="7096C094" w14:textId="77777777" w:rsidR="00AC74A0" w:rsidRPr="005C446D" w:rsidRDefault="00AC74A0" w:rsidP="00AC74A0">
            <w:pPr>
              <w:widowControl w:val="0"/>
              <w:autoSpaceDE w:val="0"/>
              <w:autoSpaceDN w:val="0"/>
              <w:adjustRightInd w:val="0"/>
              <w:rPr>
                <w:rFonts w:ascii="Times New Roman" w:hAnsi="Times New Roman"/>
                <w:color w:val="000000" w:themeColor="text1"/>
                <w:sz w:val="24"/>
                <w:szCs w:val="24"/>
              </w:rPr>
            </w:pPr>
            <w:r w:rsidRPr="005C446D">
              <w:rPr>
                <w:rFonts w:ascii="Times New Roman" w:hAnsi="Times New Roman"/>
                <w:bCs/>
                <w:color w:val="000000" w:themeColor="text1"/>
                <w:sz w:val="24"/>
                <w:szCs w:val="24"/>
              </w:rPr>
              <w:t>IGD</w:t>
            </w:r>
          </w:p>
        </w:tc>
        <w:tc>
          <w:tcPr>
            <w:tcW w:w="1701" w:type="dxa"/>
            <w:vAlign w:val="center"/>
          </w:tcPr>
          <w:p w14:paraId="6266D04B" w14:textId="77777777" w:rsidR="00AC74A0" w:rsidRPr="005C446D" w:rsidRDefault="00AC74A0" w:rsidP="00AC74A0">
            <w:pPr>
              <w:ind w:right="141"/>
              <w:jc w:val="right"/>
              <w:rPr>
                <w:rFonts w:ascii="Times New Roman" w:hAnsi="Times New Roman"/>
                <w:color w:val="000000" w:themeColor="text1"/>
                <w:sz w:val="24"/>
                <w:szCs w:val="24"/>
              </w:rPr>
            </w:pPr>
            <w:r w:rsidRPr="005C446D">
              <w:rPr>
                <w:rFonts w:ascii="Times New Roman" w:hAnsi="Times New Roman"/>
                <w:color w:val="000000" w:themeColor="text1"/>
                <w:sz w:val="24"/>
                <w:szCs w:val="24"/>
              </w:rPr>
              <w:t>65,786.43</w:t>
            </w:r>
          </w:p>
        </w:tc>
        <w:tc>
          <w:tcPr>
            <w:tcW w:w="2268" w:type="dxa"/>
            <w:vAlign w:val="center"/>
          </w:tcPr>
          <w:p w14:paraId="1D51C80E" w14:textId="77777777" w:rsidR="00AC74A0" w:rsidRPr="005C446D" w:rsidRDefault="00AC74A0" w:rsidP="00AC74A0">
            <w:pPr>
              <w:ind w:right="142"/>
              <w:jc w:val="right"/>
              <w:rPr>
                <w:rFonts w:ascii="Times New Roman" w:hAnsi="Times New Roman"/>
                <w:color w:val="000000" w:themeColor="text1"/>
                <w:sz w:val="24"/>
                <w:szCs w:val="24"/>
              </w:rPr>
            </w:pPr>
            <w:r w:rsidRPr="005C446D">
              <w:rPr>
                <w:rFonts w:ascii="Times New Roman" w:hAnsi="Times New Roman"/>
                <w:color w:val="000000" w:themeColor="text1"/>
                <w:sz w:val="24"/>
                <w:szCs w:val="24"/>
              </w:rPr>
              <w:t>81,951.16</w:t>
            </w:r>
          </w:p>
        </w:tc>
        <w:tc>
          <w:tcPr>
            <w:tcW w:w="2126" w:type="dxa"/>
            <w:vAlign w:val="center"/>
          </w:tcPr>
          <w:p w14:paraId="65748FC2" w14:textId="77777777" w:rsidR="00AC74A0" w:rsidRPr="005C446D" w:rsidRDefault="00AC74A0" w:rsidP="00AC74A0">
            <w:pPr>
              <w:ind w:right="142"/>
              <w:jc w:val="right"/>
              <w:rPr>
                <w:rFonts w:ascii="Times New Roman" w:hAnsi="Times New Roman"/>
                <w:color w:val="000000" w:themeColor="text1"/>
                <w:sz w:val="24"/>
                <w:szCs w:val="24"/>
              </w:rPr>
            </w:pPr>
            <w:r w:rsidRPr="005C446D">
              <w:rPr>
                <w:rFonts w:ascii="Times New Roman" w:hAnsi="Times New Roman"/>
                <w:color w:val="000000" w:themeColor="text1"/>
                <w:sz w:val="24"/>
                <w:szCs w:val="24"/>
              </w:rPr>
              <w:t>147,737.59</w:t>
            </w:r>
          </w:p>
        </w:tc>
      </w:tr>
      <w:tr w:rsidR="005C446D" w:rsidRPr="005C446D" w14:paraId="63B0604E" w14:textId="77777777" w:rsidTr="004C4110">
        <w:trPr>
          <w:trHeight w:val="90"/>
        </w:trPr>
        <w:tc>
          <w:tcPr>
            <w:tcW w:w="2693" w:type="dxa"/>
            <w:vAlign w:val="center"/>
          </w:tcPr>
          <w:p w14:paraId="1D9A8840" w14:textId="77777777" w:rsidR="00AC74A0" w:rsidRPr="005C446D" w:rsidRDefault="00AC74A0" w:rsidP="00AC74A0">
            <w:pPr>
              <w:widowControl w:val="0"/>
              <w:autoSpaceDE w:val="0"/>
              <w:autoSpaceDN w:val="0"/>
              <w:adjustRightInd w:val="0"/>
              <w:rPr>
                <w:rFonts w:ascii="Times New Roman" w:hAnsi="Times New Roman"/>
                <w:color w:val="000000" w:themeColor="text1"/>
                <w:sz w:val="24"/>
                <w:szCs w:val="24"/>
              </w:rPr>
            </w:pPr>
            <w:r w:rsidRPr="005C446D">
              <w:rPr>
                <w:rFonts w:ascii="Times New Roman" w:hAnsi="Times New Roman"/>
                <w:bCs/>
                <w:i/>
                <w:iCs/>
                <w:color w:val="000000" w:themeColor="text1"/>
                <w:sz w:val="24"/>
                <w:szCs w:val="24"/>
              </w:rPr>
              <w:t xml:space="preserve">Overhead Cost of </w:t>
            </w:r>
          </w:p>
          <w:p w14:paraId="4C69BC04" w14:textId="77777777" w:rsidR="00AC74A0" w:rsidRPr="005C446D" w:rsidRDefault="00AC74A0" w:rsidP="00AC74A0">
            <w:pPr>
              <w:widowControl w:val="0"/>
              <w:autoSpaceDE w:val="0"/>
              <w:autoSpaceDN w:val="0"/>
              <w:adjustRightInd w:val="0"/>
              <w:rPr>
                <w:rFonts w:ascii="Times New Roman" w:hAnsi="Times New Roman"/>
                <w:color w:val="000000" w:themeColor="text1"/>
                <w:sz w:val="24"/>
                <w:szCs w:val="24"/>
              </w:rPr>
            </w:pPr>
            <w:proofErr w:type="spellStart"/>
            <w:r w:rsidRPr="005C446D">
              <w:rPr>
                <w:rFonts w:ascii="Times New Roman" w:hAnsi="Times New Roman"/>
                <w:bCs/>
                <w:color w:val="000000" w:themeColor="text1"/>
                <w:sz w:val="24"/>
                <w:szCs w:val="24"/>
              </w:rPr>
              <w:t>Melati</w:t>
            </w:r>
            <w:proofErr w:type="spellEnd"/>
            <w:r w:rsidRPr="005C446D">
              <w:rPr>
                <w:rFonts w:ascii="Times New Roman" w:hAnsi="Times New Roman"/>
                <w:bCs/>
                <w:color w:val="000000" w:themeColor="text1"/>
                <w:sz w:val="24"/>
                <w:szCs w:val="24"/>
              </w:rPr>
              <w:t xml:space="preserve"> Ward</w:t>
            </w:r>
          </w:p>
        </w:tc>
        <w:tc>
          <w:tcPr>
            <w:tcW w:w="1701" w:type="dxa"/>
            <w:vAlign w:val="center"/>
          </w:tcPr>
          <w:p w14:paraId="0F5ECB36" w14:textId="77777777" w:rsidR="00AC74A0" w:rsidRPr="005C446D" w:rsidRDefault="00AC74A0" w:rsidP="00AC74A0">
            <w:pPr>
              <w:ind w:right="141"/>
              <w:jc w:val="right"/>
              <w:rPr>
                <w:rFonts w:ascii="Times New Roman" w:hAnsi="Times New Roman"/>
                <w:color w:val="000000" w:themeColor="text1"/>
                <w:sz w:val="24"/>
                <w:szCs w:val="24"/>
              </w:rPr>
            </w:pPr>
            <w:r w:rsidRPr="005C446D">
              <w:rPr>
                <w:rFonts w:ascii="Times New Roman" w:hAnsi="Times New Roman"/>
                <w:color w:val="000000" w:themeColor="text1"/>
                <w:sz w:val="24"/>
                <w:szCs w:val="24"/>
              </w:rPr>
              <w:t>560,258.01</w:t>
            </w:r>
          </w:p>
        </w:tc>
        <w:tc>
          <w:tcPr>
            <w:tcW w:w="2268" w:type="dxa"/>
            <w:vAlign w:val="center"/>
          </w:tcPr>
          <w:p w14:paraId="42A67D5B" w14:textId="77777777" w:rsidR="00AC74A0" w:rsidRPr="005C446D" w:rsidRDefault="00AC74A0" w:rsidP="00AC74A0">
            <w:pPr>
              <w:ind w:right="142"/>
              <w:jc w:val="right"/>
              <w:rPr>
                <w:rFonts w:ascii="Times New Roman" w:hAnsi="Times New Roman"/>
                <w:color w:val="000000" w:themeColor="text1"/>
                <w:sz w:val="24"/>
                <w:szCs w:val="24"/>
              </w:rPr>
            </w:pPr>
            <w:r w:rsidRPr="005C446D">
              <w:rPr>
                <w:rFonts w:ascii="Times New Roman" w:hAnsi="Times New Roman"/>
                <w:color w:val="000000" w:themeColor="text1"/>
                <w:sz w:val="24"/>
                <w:szCs w:val="24"/>
              </w:rPr>
              <w:t>562,066.70</w:t>
            </w:r>
          </w:p>
        </w:tc>
        <w:tc>
          <w:tcPr>
            <w:tcW w:w="2126" w:type="dxa"/>
            <w:vAlign w:val="center"/>
          </w:tcPr>
          <w:p w14:paraId="0823E261" w14:textId="77777777" w:rsidR="00AC74A0" w:rsidRPr="005C446D" w:rsidRDefault="00AC74A0" w:rsidP="00AC74A0">
            <w:pPr>
              <w:ind w:right="142"/>
              <w:jc w:val="right"/>
              <w:rPr>
                <w:rFonts w:ascii="Times New Roman" w:hAnsi="Times New Roman"/>
                <w:color w:val="000000" w:themeColor="text1"/>
                <w:sz w:val="24"/>
                <w:szCs w:val="24"/>
              </w:rPr>
            </w:pPr>
            <w:r w:rsidRPr="005C446D">
              <w:rPr>
                <w:rFonts w:ascii="Times New Roman" w:hAnsi="Times New Roman"/>
                <w:color w:val="000000" w:themeColor="text1"/>
                <w:sz w:val="24"/>
                <w:szCs w:val="24"/>
              </w:rPr>
              <w:t>1,122,324.71</w:t>
            </w:r>
          </w:p>
        </w:tc>
      </w:tr>
      <w:tr w:rsidR="004C4110" w:rsidRPr="005C446D" w14:paraId="3F5AFF21" w14:textId="77777777" w:rsidTr="004C4110">
        <w:trPr>
          <w:trHeight w:val="383"/>
        </w:trPr>
        <w:tc>
          <w:tcPr>
            <w:tcW w:w="6662" w:type="dxa"/>
            <w:gridSpan w:val="3"/>
            <w:vAlign w:val="center"/>
          </w:tcPr>
          <w:p w14:paraId="006B6B9A" w14:textId="77777777" w:rsidR="00AC74A0" w:rsidRPr="005C446D" w:rsidRDefault="00AC74A0" w:rsidP="00AC74A0">
            <w:pPr>
              <w:widowControl w:val="0"/>
              <w:autoSpaceDE w:val="0"/>
              <w:autoSpaceDN w:val="0"/>
              <w:adjustRightInd w:val="0"/>
              <w:ind w:right="100"/>
              <w:jc w:val="center"/>
              <w:rPr>
                <w:rFonts w:ascii="Times New Roman" w:hAnsi="Times New Roman"/>
                <w:color w:val="000000" w:themeColor="text1"/>
                <w:sz w:val="24"/>
                <w:szCs w:val="24"/>
              </w:rPr>
            </w:pPr>
            <w:r w:rsidRPr="005C446D">
              <w:rPr>
                <w:rFonts w:ascii="Times New Roman" w:hAnsi="Times New Roman"/>
                <w:bCs/>
                <w:color w:val="000000" w:themeColor="text1"/>
                <w:sz w:val="24"/>
                <w:szCs w:val="24"/>
              </w:rPr>
              <w:t xml:space="preserve">Total Cost </w:t>
            </w:r>
          </w:p>
        </w:tc>
        <w:tc>
          <w:tcPr>
            <w:tcW w:w="2126" w:type="dxa"/>
            <w:vAlign w:val="center"/>
          </w:tcPr>
          <w:p w14:paraId="340BAF90" w14:textId="77777777" w:rsidR="00AC74A0" w:rsidRPr="005C446D" w:rsidRDefault="00AC74A0" w:rsidP="00AC74A0">
            <w:pPr>
              <w:widowControl w:val="0"/>
              <w:autoSpaceDE w:val="0"/>
              <w:autoSpaceDN w:val="0"/>
              <w:adjustRightInd w:val="0"/>
              <w:ind w:right="100"/>
              <w:jc w:val="center"/>
              <w:rPr>
                <w:rFonts w:ascii="Times New Roman" w:hAnsi="Times New Roman"/>
                <w:color w:val="000000" w:themeColor="text1"/>
                <w:sz w:val="24"/>
                <w:szCs w:val="24"/>
              </w:rPr>
            </w:pPr>
            <w:r w:rsidRPr="005C446D">
              <w:rPr>
                <w:rFonts w:ascii="Times New Roman" w:hAnsi="Times New Roman"/>
                <w:color w:val="000000" w:themeColor="text1"/>
                <w:sz w:val="24"/>
                <w:szCs w:val="24"/>
              </w:rPr>
              <w:t>2.301.989,30</w:t>
            </w:r>
          </w:p>
        </w:tc>
      </w:tr>
    </w:tbl>
    <w:p w14:paraId="20FA75D6" w14:textId="77777777" w:rsidR="00AC74A0" w:rsidRPr="005C446D" w:rsidRDefault="00AC74A0" w:rsidP="00E278AB">
      <w:pPr>
        <w:pStyle w:val="ListParagraph"/>
        <w:spacing w:after="0" w:line="240" w:lineRule="auto"/>
        <w:ind w:left="0"/>
        <w:jc w:val="both"/>
        <w:rPr>
          <w:rFonts w:ascii="Times New Roman" w:hAnsi="Times New Roman"/>
          <w:b/>
          <w:color w:val="000000" w:themeColor="text1"/>
          <w:sz w:val="24"/>
          <w:szCs w:val="24"/>
        </w:rPr>
      </w:pPr>
    </w:p>
    <w:p w14:paraId="7867D27A" w14:textId="0A6D70C1" w:rsidR="005C14D1" w:rsidRDefault="00AC74A0" w:rsidP="00E278AB">
      <w:pPr>
        <w:pStyle w:val="ListParagraph"/>
        <w:spacing w:after="0" w:line="240" w:lineRule="auto"/>
        <w:ind w:left="360"/>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The calculation of unit cost of inpatients with </w:t>
      </w:r>
      <w:r w:rsidR="00FA6AEF" w:rsidRPr="005C446D">
        <w:rPr>
          <w:rFonts w:ascii="Times New Roman" w:hAnsi="Times New Roman"/>
          <w:color w:val="000000" w:themeColor="text1"/>
          <w:sz w:val="24"/>
          <w:szCs w:val="24"/>
        </w:rPr>
        <w:t>mild</w:t>
      </w:r>
      <w:r w:rsidRPr="005C446D">
        <w:rPr>
          <w:rFonts w:ascii="Times New Roman" w:hAnsi="Times New Roman"/>
          <w:color w:val="000000" w:themeColor="text1"/>
          <w:sz w:val="24"/>
          <w:szCs w:val="24"/>
        </w:rPr>
        <w:t xml:space="preserve"> head injury at </w:t>
      </w:r>
      <w:proofErr w:type="spellStart"/>
      <w:r w:rsidRPr="005C446D">
        <w:rPr>
          <w:rFonts w:ascii="Times New Roman" w:hAnsi="Times New Roman"/>
          <w:color w:val="000000" w:themeColor="text1"/>
          <w:sz w:val="24"/>
          <w:szCs w:val="24"/>
        </w:rPr>
        <w:t>Panembahan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Senopati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Bantul</w:t>
      </w:r>
      <w:proofErr w:type="spellEnd"/>
      <w:r w:rsidRPr="005C446D">
        <w:rPr>
          <w:rFonts w:ascii="Times New Roman" w:hAnsi="Times New Roman"/>
          <w:color w:val="000000" w:themeColor="text1"/>
          <w:sz w:val="24"/>
          <w:szCs w:val="24"/>
        </w:rPr>
        <w:t xml:space="preserve"> Hospital with Activity Based Costing method was obtained total cost of Rp.2.301.989,30 with total direct cost of </w:t>
      </w:r>
      <w:proofErr w:type="spellStart"/>
      <w:r w:rsidRPr="005C446D">
        <w:rPr>
          <w:rFonts w:ascii="Times New Roman" w:hAnsi="Times New Roman"/>
          <w:color w:val="000000" w:themeColor="text1"/>
          <w:sz w:val="24"/>
          <w:szCs w:val="24"/>
        </w:rPr>
        <w:t>Rp</w:t>
      </w:r>
      <w:proofErr w:type="spellEnd"/>
      <w:r w:rsidRPr="005C446D">
        <w:rPr>
          <w:rFonts w:ascii="Times New Roman" w:hAnsi="Times New Roman"/>
          <w:color w:val="000000" w:themeColor="text1"/>
          <w:sz w:val="24"/>
          <w:szCs w:val="24"/>
        </w:rPr>
        <w:t>. 1,031,927, and</w:t>
      </w:r>
      <w:r w:rsidR="00FA6AEF" w:rsidRPr="005C446D">
        <w:rPr>
          <w:rFonts w:ascii="Times New Roman" w:hAnsi="Times New Roman"/>
          <w:color w:val="000000" w:themeColor="text1"/>
          <w:sz w:val="24"/>
          <w:szCs w:val="24"/>
        </w:rPr>
        <w:t xml:space="preserve"> the total overhead cost is Rp.</w:t>
      </w:r>
      <w:r w:rsidRPr="005C446D">
        <w:rPr>
          <w:rFonts w:ascii="Times New Roman" w:hAnsi="Times New Roman"/>
          <w:color w:val="000000" w:themeColor="text1"/>
          <w:sz w:val="24"/>
          <w:szCs w:val="24"/>
        </w:rPr>
        <w:t>1.270.062,30.</w:t>
      </w:r>
    </w:p>
    <w:p w14:paraId="340379D8" w14:textId="77777777" w:rsidR="00E278AB" w:rsidRPr="005C446D" w:rsidRDefault="00E278AB" w:rsidP="004633EF">
      <w:pPr>
        <w:pStyle w:val="ListParagraph"/>
        <w:spacing w:after="0" w:line="240" w:lineRule="auto"/>
        <w:ind w:left="360"/>
        <w:jc w:val="both"/>
        <w:rPr>
          <w:rFonts w:ascii="Times New Roman" w:hAnsi="Times New Roman"/>
          <w:b/>
          <w:color w:val="000000" w:themeColor="text1"/>
          <w:sz w:val="24"/>
          <w:szCs w:val="24"/>
        </w:rPr>
      </w:pPr>
    </w:p>
    <w:p w14:paraId="4202906D" w14:textId="046633D5" w:rsidR="005C14D1" w:rsidRDefault="00744CE5" w:rsidP="00E3734B">
      <w:pPr>
        <w:jc w:val="center"/>
        <w:rPr>
          <w:rStyle w:val="translation"/>
          <w:rFonts w:ascii="Times New Roman" w:hAnsi="Times New Roman" w:cs="Times New Roman"/>
          <w:b/>
          <w:color w:val="000000" w:themeColor="text1"/>
          <w:sz w:val="24"/>
          <w:szCs w:val="24"/>
        </w:rPr>
      </w:pPr>
      <w:r w:rsidRPr="005C446D">
        <w:rPr>
          <w:rStyle w:val="translation"/>
          <w:rFonts w:ascii="Times New Roman" w:hAnsi="Times New Roman" w:cs="Times New Roman"/>
          <w:b/>
          <w:color w:val="000000" w:themeColor="text1"/>
          <w:sz w:val="24"/>
          <w:szCs w:val="24"/>
        </w:rPr>
        <w:t>DISCUSSION</w:t>
      </w:r>
    </w:p>
    <w:p w14:paraId="72C2644C" w14:textId="77777777" w:rsidR="00E3734B" w:rsidRPr="005C446D" w:rsidRDefault="00E3734B" w:rsidP="00E3734B">
      <w:pPr>
        <w:jc w:val="center"/>
        <w:rPr>
          <w:rStyle w:val="translation"/>
          <w:rFonts w:ascii="Times New Roman" w:hAnsi="Times New Roman" w:cs="Times New Roman"/>
          <w:b/>
          <w:color w:val="000000" w:themeColor="text1"/>
          <w:sz w:val="24"/>
          <w:szCs w:val="24"/>
        </w:rPr>
      </w:pPr>
    </w:p>
    <w:p w14:paraId="63DB6243" w14:textId="3D24B36C" w:rsidR="00744CE5" w:rsidRPr="005C446D" w:rsidRDefault="00744CE5" w:rsidP="00744CE5">
      <w:pPr>
        <w:pStyle w:val="ListParagraph"/>
        <w:numPr>
          <w:ilvl w:val="0"/>
          <w:numId w:val="4"/>
        </w:numPr>
        <w:spacing w:after="0" w:line="240" w:lineRule="auto"/>
        <w:ind w:left="36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Direct Cost Charges in Unit Cost Calculation Diagnosis of </w:t>
      </w:r>
      <w:r w:rsidR="00FA6AEF" w:rsidRPr="005C446D">
        <w:rPr>
          <w:rFonts w:ascii="Times New Roman" w:hAnsi="Times New Roman"/>
          <w:color w:val="000000" w:themeColor="text1"/>
          <w:sz w:val="24"/>
          <w:szCs w:val="24"/>
          <w:lang w:val="en"/>
        </w:rPr>
        <w:t>Mild H</w:t>
      </w:r>
      <w:r w:rsidRPr="005C446D">
        <w:rPr>
          <w:rFonts w:ascii="Times New Roman" w:hAnsi="Times New Roman"/>
          <w:color w:val="000000" w:themeColor="text1"/>
          <w:sz w:val="24"/>
          <w:szCs w:val="24"/>
          <w:lang w:val="en"/>
        </w:rPr>
        <w:t>ead Injury</w:t>
      </w:r>
    </w:p>
    <w:p w14:paraId="72559987" w14:textId="1683B38D" w:rsidR="00744CE5" w:rsidRPr="005C446D" w:rsidRDefault="00744CE5" w:rsidP="00744CE5">
      <w:pPr>
        <w:pStyle w:val="ListParagraph"/>
        <w:spacing w:after="0" w:line="240" w:lineRule="auto"/>
        <w:ind w:left="360" w:firstLine="72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Direct costs are fees that can be charged directly to cost or product objects such as consumable costs, specialist medical services and laundry linens. Direct costing is not a generally accepted accounting procedure for external reporting purposes, as the exclusion of all overheads from inventory is not compliant with the definition of production cost.</w:t>
      </w:r>
      <w:r w:rsidRPr="005C446D">
        <w:rPr>
          <w:rFonts w:ascii="Times New Roman" w:hAnsi="Times New Roman"/>
          <w:color w:val="000000" w:themeColor="text1"/>
          <w:sz w:val="24"/>
          <w:szCs w:val="24"/>
          <w:vertAlign w:val="superscript"/>
        </w:rPr>
        <w:t xml:space="preserve"> 1</w:t>
      </w:r>
      <w:r w:rsidR="00A65D13" w:rsidRPr="005C446D">
        <w:rPr>
          <w:rFonts w:ascii="Times New Roman" w:hAnsi="Times New Roman"/>
          <w:color w:val="000000" w:themeColor="text1"/>
          <w:sz w:val="24"/>
          <w:szCs w:val="24"/>
          <w:vertAlign w:val="superscript"/>
        </w:rPr>
        <w:t>2</w:t>
      </w:r>
    </w:p>
    <w:p w14:paraId="58EFBB0A" w14:textId="4E15303E" w:rsidR="00744CE5" w:rsidRPr="005C446D" w:rsidRDefault="00744CE5" w:rsidP="00744CE5">
      <w:pPr>
        <w:pStyle w:val="ListParagraph"/>
        <w:spacing w:after="0" w:line="240" w:lineRule="auto"/>
        <w:ind w:left="360" w:firstLine="72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Based on the result of research, known that direct cost in calculation of unit cost of patient care with diagnosis of </w:t>
      </w:r>
      <w:r w:rsidR="00FA6AEF" w:rsidRPr="005C446D">
        <w:rPr>
          <w:rFonts w:ascii="Times New Roman" w:hAnsi="Times New Roman"/>
          <w:color w:val="000000" w:themeColor="text1"/>
          <w:sz w:val="24"/>
          <w:szCs w:val="24"/>
          <w:lang w:val="en"/>
        </w:rPr>
        <w:t>mild</w:t>
      </w:r>
      <w:r w:rsidRPr="005C446D">
        <w:rPr>
          <w:rFonts w:ascii="Times New Roman" w:hAnsi="Times New Roman"/>
          <w:color w:val="000000" w:themeColor="text1"/>
          <w:sz w:val="24"/>
          <w:szCs w:val="24"/>
          <w:lang w:val="en"/>
        </w:rPr>
        <w:t xml:space="preserve"> head injury at RSUD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is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1,031,927. The calculation of the direct costs consists of the cost of the IGD unit and the </w:t>
      </w:r>
      <w:proofErr w:type="spellStart"/>
      <w:r w:rsidRPr="005C446D">
        <w:rPr>
          <w:rFonts w:ascii="Times New Roman" w:hAnsi="Times New Roman"/>
          <w:color w:val="000000" w:themeColor="text1"/>
          <w:sz w:val="24"/>
          <w:szCs w:val="24"/>
          <w:lang w:val="en"/>
        </w:rPr>
        <w:t>Melati</w:t>
      </w:r>
      <w:proofErr w:type="spellEnd"/>
      <w:r w:rsidRPr="005C446D">
        <w:rPr>
          <w:rFonts w:ascii="Times New Roman" w:hAnsi="Times New Roman"/>
          <w:color w:val="000000" w:themeColor="text1"/>
          <w:sz w:val="24"/>
          <w:szCs w:val="24"/>
          <w:lang w:val="en"/>
        </w:rPr>
        <w:t xml:space="preserve"> Ward unit. In the Emergency Installation Unit (IGD), the total direct cost of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783,176 consists of supporting costs of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618,500 and the cost of medicines, consumables of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127,176, </w:t>
      </w:r>
      <w:r w:rsidR="00D62BC6" w:rsidRPr="005C446D">
        <w:rPr>
          <w:rFonts w:ascii="Times New Roman" w:hAnsi="Times New Roman"/>
          <w:color w:val="000000" w:themeColor="text1"/>
          <w:sz w:val="24"/>
          <w:szCs w:val="24"/>
          <w:lang w:val="en"/>
        </w:rPr>
        <w:t xml:space="preserve">while the direct cost of </w:t>
      </w:r>
      <w:proofErr w:type="spellStart"/>
      <w:r w:rsidR="00D62BC6" w:rsidRPr="005C446D">
        <w:rPr>
          <w:rFonts w:ascii="Times New Roman" w:hAnsi="Times New Roman"/>
          <w:color w:val="000000" w:themeColor="text1"/>
          <w:sz w:val="24"/>
          <w:szCs w:val="24"/>
          <w:lang w:val="en"/>
        </w:rPr>
        <w:t>Melati</w:t>
      </w:r>
      <w:proofErr w:type="spellEnd"/>
      <w:r w:rsidR="00D62BC6" w:rsidRPr="005C446D">
        <w:rPr>
          <w:rFonts w:ascii="Times New Roman" w:hAnsi="Times New Roman"/>
          <w:color w:val="000000" w:themeColor="text1"/>
          <w:sz w:val="24"/>
          <w:szCs w:val="24"/>
          <w:lang w:val="en"/>
        </w:rPr>
        <w:t xml:space="preserve"> ward unit is Rp248.751. Direct cost calculations for patients with head injury are obtained based on the cost of consumables adapted to the Clinical Pathway for the diagnosis of mild head injuries during patient care at </w:t>
      </w:r>
      <w:proofErr w:type="spellStart"/>
      <w:r w:rsidR="00D62BC6" w:rsidRPr="005C446D">
        <w:rPr>
          <w:rFonts w:ascii="Times New Roman" w:hAnsi="Times New Roman"/>
          <w:color w:val="000000" w:themeColor="text1"/>
          <w:sz w:val="24"/>
          <w:szCs w:val="24"/>
          <w:lang w:val="en"/>
        </w:rPr>
        <w:t>Panembahan</w:t>
      </w:r>
      <w:proofErr w:type="spellEnd"/>
      <w:r w:rsidR="00D62BC6" w:rsidRPr="005C446D">
        <w:rPr>
          <w:rFonts w:ascii="Times New Roman" w:hAnsi="Times New Roman"/>
          <w:color w:val="000000" w:themeColor="text1"/>
          <w:sz w:val="24"/>
          <w:szCs w:val="24"/>
          <w:lang w:val="en"/>
        </w:rPr>
        <w:t xml:space="preserve"> </w:t>
      </w:r>
      <w:proofErr w:type="spellStart"/>
      <w:r w:rsidR="00D62BC6" w:rsidRPr="005C446D">
        <w:rPr>
          <w:rFonts w:ascii="Times New Roman" w:hAnsi="Times New Roman"/>
          <w:color w:val="000000" w:themeColor="text1"/>
          <w:sz w:val="24"/>
          <w:szCs w:val="24"/>
          <w:lang w:val="en"/>
        </w:rPr>
        <w:t>Senopati</w:t>
      </w:r>
      <w:proofErr w:type="spellEnd"/>
      <w:r w:rsidR="00D62BC6" w:rsidRPr="005C446D">
        <w:rPr>
          <w:rFonts w:ascii="Times New Roman" w:hAnsi="Times New Roman"/>
          <w:color w:val="000000" w:themeColor="text1"/>
          <w:sz w:val="24"/>
          <w:szCs w:val="24"/>
          <w:lang w:val="en"/>
        </w:rPr>
        <w:t xml:space="preserve"> </w:t>
      </w:r>
      <w:proofErr w:type="spellStart"/>
      <w:r w:rsidR="00D62BC6" w:rsidRPr="005C446D">
        <w:rPr>
          <w:rFonts w:ascii="Times New Roman" w:hAnsi="Times New Roman"/>
          <w:color w:val="000000" w:themeColor="text1"/>
          <w:sz w:val="24"/>
          <w:szCs w:val="24"/>
          <w:lang w:val="en"/>
        </w:rPr>
        <w:t>Bantul</w:t>
      </w:r>
      <w:proofErr w:type="spellEnd"/>
      <w:r w:rsidR="00D62BC6" w:rsidRPr="005C446D">
        <w:rPr>
          <w:rFonts w:ascii="Times New Roman" w:hAnsi="Times New Roman"/>
          <w:color w:val="000000" w:themeColor="text1"/>
          <w:sz w:val="24"/>
          <w:szCs w:val="24"/>
          <w:lang w:val="en"/>
        </w:rPr>
        <w:t xml:space="preserve"> Hospital.</w:t>
      </w:r>
    </w:p>
    <w:p w14:paraId="7FE75727" w14:textId="18756F3E" w:rsidR="00744CE5" w:rsidRPr="005C446D"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The examination of CKR patients starts at the IGD unit, the patient was examined by the Emergency Installation Unit duty physician and then examined i</w:t>
      </w:r>
      <w:r w:rsidR="00D62BC6" w:rsidRPr="005C446D">
        <w:rPr>
          <w:rFonts w:ascii="Times New Roman" w:hAnsi="Times New Roman"/>
          <w:color w:val="000000" w:themeColor="text1"/>
          <w:sz w:val="24"/>
          <w:szCs w:val="24"/>
          <w:lang w:val="en"/>
        </w:rPr>
        <w:t>n the form of Blood Complete, EK</w:t>
      </w:r>
      <w:r w:rsidRPr="005C446D">
        <w:rPr>
          <w:rFonts w:ascii="Times New Roman" w:hAnsi="Times New Roman"/>
          <w:color w:val="000000" w:themeColor="text1"/>
          <w:sz w:val="24"/>
          <w:szCs w:val="24"/>
          <w:lang w:val="en"/>
        </w:rPr>
        <w:t xml:space="preserve">G, </w:t>
      </w:r>
      <w:proofErr w:type="spellStart"/>
      <w:r w:rsidRPr="005C446D">
        <w:rPr>
          <w:rFonts w:ascii="Times New Roman" w:hAnsi="Times New Roman"/>
          <w:color w:val="000000" w:themeColor="text1"/>
          <w:sz w:val="24"/>
          <w:szCs w:val="24"/>
          <w:lang w:val="en"/>
        </w:rPr>
        <w:t>Rontgent</w:t>
      </w:r>
      <w:proofErr w:type="spellEnd"/>
      <w:r w:rsidRPr="005C446D">
        <w:rPr>
          <w:rFonts w:ascii="Times New Roman" w:hAnsi="Times New Roman"/>
          <w:color w:val="000000" w:themeColor="text1"/>
          <w:sz w:val="24"/>
          <w:szCs w:val="24"/>
          <w:lang w:val="en"/>
        </w:rPr>
        <w:t xml:space="preserve"> Cranium and Head CT Scan. One of the investigations on Headache Injuries is Head CT Scan. Head CT Scan is one of the procedures contained in clinical pathway to establish </w:t>
      </w:r>
      <w:r w:rsidR="00D908C8" w:rsidRPr="005C446D">
        <w:rPr>
          <w:rFonts w:ascii="Times New Roman" w:hAnsi="Times New Roman"/>
          <w:color w:val="000000" w:themeColor="text1"/>
          <w:sz w:val="24"/>
          <w:szCs w:val="24"/>
          <w:lang w:val="en"/>
        </w:rPr>
        <w:t>diagnosis of mild head injury</w:t>
      </w:r>
      <w:r w:rsidRPr="005C446D">
        <w:rPr>
          <w:rFonts w:ascii="Times New Roman" w:hAnsi="Times New Roman"/>
          <w:color w:val="000000" w:themeColor="text1"/>
          <w:sz w:val="24"/>
          <w:szCs w:val="24"/>
          <w:lang w:val="en"/>
        </w:rPr>
        <w:t>.</w:t>
      </w:r>
    </w:p>
    <w:p w14:paraId="69078247" w14:textId="5D60357F" w:rsidR="00744CE5" w:rsidRPr="005C446D"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lastRenderedPageBreak/>
        <w:t xml:space="preserve">In this research, direct cost calculation on </w:t>
      </w:r>
      <w:proofErr w:type="spellStart"/>
      <w:r w:rsidRPr="005C446D">
        <w:rPr>
          <w:rFonts w:ascii="Times New Roman" w:hAnsi="Times New Roman"/>
          <w:color w:val="000000" w:themeColor="text1"/>
          <w:sz w:val="24"/>
          <w:szCs w:val="24"/>
          <w:lang w:val="en"/>
        </w:rPr>
        <w:t>Melati</w:t>
      </w:r>
      <w:proofErr w:type="spellEnd"/>
      <w:r w:rsidR="00D908C8" w:rsidRPr="005C446D">
        <w:rPr>
          <w:rFonts w:ascii="Times New Roman" w:hAnsi="Times New Roman"/>
          <w:color w:val="000000" w:themeColor="text1"/>
          <w:sz w:val="24"/>
          <w:szCs w:val="24"/>
          <w:lang w:val="en"/>
        </w:rPr>
        <w:t xml:space="preserve"> ward unit</w:t>
      </w:r>
      <w:r w:rsidRPr="005C446D">
        <w:rPr>
          <w:rFonts w:ascii="Times New Roman" w:hAnsi="Times New Roman"/>
          <w:color w:val="000000" w:themeColor="text1"/>
          <w:sz w:val="24"/>
          <w:szCs w:val="24"/>
          <w:lang w:val="en"/>
        </w:rPr>
        <w:t xml:space="preserve"> is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248.751 with details of drug costs, consumables found in </w:t>
      </w:r>
      <w:proofErr w:type="spellStart"/>
      <w:r w:rsidRPr="005C446D">
        <w:rPr>
          <w:rFonts w:ascii="Times New Roman" w:hAnsi="Times New Roman"/>
          <w:color w:val="000000" w:themeColor="text1"/>
          <w:sz w:val="24"/>
          <w:szCs w:val="24"/>
          <w:lang w:val="en"/>
        </w:rPr>
        <w:t>Melati</w:t>
      </w:r>
      <w:proofErr w:type="spellEnd"/>
      <w:r w:rsidRPr="005C446D">
        <w:rPr>
          <w:rFonts w:ascii="Times New Roman" w:hAnsi="Times New Roman"/>
          <w:color w:val="000000" w:themeColor="text1"/>
          <w:sz w:val="24"/>
          <w:szCs w:val="24"/>
          <w:lang w:val="en"/>
        </w:rPr>
        <w:t xml:space="preserve"> Ward is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98751. The cost of the room, </w:t>
      </w:r>
      <w:proofErr w:type="spellStart"/>
      <w:r w:rsidRPr="005C446D">
        <w:rPr>
          <w:rFonts w:ascii="Times New Roman" w:hAnsi="Times New Roman"/>
          <w:color w:val="000000" w:themeColor="text1"/>
          <w:sz w:val="24"/>
          <w:szCs w:val="24"/>
          <w:lang w:val="en"/>
        </w:rPr>
        <w:t>visite</w:t>
      </w:r>
      <w:proofErr w:type="spellEnd"/>
      <w:r w:rsidRPr="005C446D">
        <w:rPr>
          <w:rFonts w:ascii="Times New Roman" w:hAnsi="Times New Roman"/>
          <w:color w:val="000000" w:themeColor="text1"/>
          <w:sz w:val="24"/>
          <w:szCs w:val="24"/>
          <w:lang w:val="en"/>
        </w:rPr>
        <w:t xml:space="preserve"> doctor surgeon and nutrition accommodation is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150,000. Length of stay (LOS) of patients with </w:t>
      </w:r>
      <w:r w:rsidR="00D908C8" w:rsidRPr="005C446D">
        <w:rPr>
          <w:rFonts w:ascii="Times New Roman" w:hAnsi="Times New Roman"/>
          <w:color w:val="000000" w:themeColor="text1"/>
          <w:sz w:val="24"/>
          <w:szCs w:val="24"/>
          <w:lang w:val="en"/>
        </w:rPr>
        <w:t xml:space="preserve">mild </w:t>
      </w:r>
      <w:r w:rsidRPr="005C446D">
        <w:rPr>
          <w:rFonts w:ascii="Times New Roman" w:hAnsi="Times New Roman"/>
          <w:color w:val="000000" w:themeColor="text1"/>
          <w:sz w:val="24"/>
          <w:szCs w:val="24"/>
          <w:lang w:val="en"/>
        </w:rPr>
        <w:t xml:space="preserve">head injury on average treatment is 2-3 days depending on the clinical condition or the patient's condition. In this study the length of the patient's hospitalization of </w:t>
      </w:r>
      <w:r w:rsidR="00D908C8" w:rsidRPr="005C446D">
        <w:rPr>
          <w:rFonts w:ascii="Times New Roman" w:hAnsi="Times New Roman"/>
          <w:color w:val="000000" w:themeColor="text1"/>
          <w:sz w:val="24"/>
          <w:szCs w:val="24"/>
          <w:lang w:val="en"/>
        </w:rPr>
        <w:t xml:space="preserve">Mild </w:t>
      </w:r>
      <w:r w:rsidRPr="005C446D">
        <w:rPr>
          <w:rFonts w:ascii="Times New Roman" w:hAnsi="Times New Roman"/>
          <w:color w:val="000000" w:themeColor="text1"/>
          <w:sz w:val="24"/>
          <w:szCs w:val="24"/>
          <w:lang w:val="en"/>
        </w:rPr>
        <w:t>Head Injury is for 2 days according to the clinical pathway. Treatment of CKR patients who have shorter hospitalization time can reduce the cost because of longer maintenance time or higher Length of stay (LOS) can cause more and more expense.</w:t>
      </w:r>
    </w:p>
    <w:p w14:paraId="601DDB99" w14:textId="74079636" w:rsidR="00744CE5" w:rsidRPr="005C446D"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The results of a study conducted by Chatterjee, Levin and </w:t>
      </w:r>
      <w:proofErr w:type="spellStart"/>
      <w:r w:rsidRPr="005C446D">
        <w:rPr>
          <w:rFonts w:ascii="Times New Roman" w:hAnsi="Times New Roman"/>
          <w:color w:val="000000" w:themeColor="text1"/>
          <w:sz w:val="24"/>
          <w:szCs w:val="24"/>
          <w:lang w:val="en"/>
        </w:rPr>
        <w:t>Laxminarayan</w:t>
      </w:r>
      <w:proofErr w:type="spellEnd"/>
      <w:r w:rsidRPr="005C446D">
        <w:rPr>
          <w:rFonts w:ascii="Times New Roman" w:hAnsi="Times New Roman"/>
          <w:color w:val="000000" w:themeColor="text1"/>
          <w:sz w:val="24"/>
          <w:szCs w:val="24"/>
          <w:lang w:val="en"/>
        </w:rPr>
        <w:t xml:space="preserve"> (2013) show "One reason for the overhead high cost at the outpatient and inpatient departments of the privilege can be focused on cases, which ones may be few.”</w:t>
      </w:r>
      <w:r w:rsidRPr="005C446D">
        <w:rPr>
          <w:rFonts w:ascii="Times New Roman" w:hAnsi="Times New Roman"/>
          <w:color w:val="000000" w:themeColor="text1"/>
          <w:sz w:val="24"/>
          <w:szCs w:val="24"/>
          <w:vertAlign w:val="superscript"/>
        </w:rPr>
        <w:t>1</w:t>
      </w:r>
      <w:r w:rsidR="00A65D13" w:rsidRPr="005C446D">
        <w:rPr>
          <w:rFonts w:ascii="Times New Roman" w:hAnsi="Times New Roman"/>
          <w:color w:val="000000" w:themeColor="text1"/>
          <w:sz w:val="24"/>
          <w:szCs w:val="24"/>
          <w:vertAlign w:val="superscript"/>
        </w:rPr>
        <w:t>3</w:t>
      </w:r>
      <w:r w:rsidRPr="005C446D">
        <w:rPr>
          <w:rFonts w:ascii="Times New Roman" w:hAnsi="Times New Roman"/>
          <w:color w:val="000000" w:themeColor="text1"/>
          <w:sz w:val="24"/>
          <w:szCs w:val="24"/>
          <w:lang w:val="en"/>
        </w:rPr>
        <w:t xml:space="preserve"> Reason for the high the overall costs of outpatient and hospitalization can be due to some special cases that should get the focus of the hospital, but the cases are likely to be few. The hospital needs to determine the foster road load or revenue can be increased to improve unit cost.</w:t>
      </w:r>
    </w:p>
    <w:p w14:paraId="747E5572" w14:textId="032D1368" w:rsidR="00744CE5"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Based on interviews with IGD doctors </w:t>
      </w:r>
      <w:r w:rsidR="00FC75CB" w:rsidRPr="005C446D">
        <w:rPr>
          <w:rFonts w:ascii="Times New Roman" w:hAnsi="Times New Roman"/>
          <w:color w:val="000000" w:themeColor="text1"/>
          <w:sz w:val="24"/>
          <w:szCs w:val="24"/>
          <w:lang w:val="en"/>
        </w:rPr>
        <w:t xml:space="preserve">at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00FC75CB" w:rsidRPr="005C446D">
        <w:rPr>
          <w:rFonts w:ascii="Times New Roman" w:hAnsi="Times New Roman"/>
          <w:color w:val="000000" w:themeColor="text1"/>
          <w:sz w:val="24"/>
          <w:szCs w:val="24"/>
          <w:lang w:val="en"/>
        </w:rPr>
        <w:t>Bantul</w:t>
      </w:r>
      <w:proofErr w:type="spellEnd"/>
      <w:r w:rsidR="00FC75CB" w:rsidRPr="005C446D">
        <w:rPr>
          <w:rFonts w:ascii="Times New Roman" w:hAnsi="Times New Roman"/>
          <w:color w:val="000000" w:themeColor="text1"/>
          <w:sz w:val="24"/>
          <w:szCs w:val="24"/>
          <w:lang w:val="en"/>
        </w:rPr>
        <w:t xml:space="preserve"> </w:t>
      </w:r>
      <w:r w:rsidRPr="005C446D">
        <w:rPr>
          <w:rFonts w:ascii="Times New Roman" w:hAnsi="Times New Roman"/>
          <w:color w:val="000000" w:themeColor="text1"/>
          <w:sz w:val="24"/>
          <w:szCs w:val="24"/>
          <w:lang w:val="en"/>
        </w:rPr>
        <w:t xml:space="preserve">Hospital that for investigations such as GDS and EKG are not all done on the care of patients </w:t>
      </w:r>
      <w:r w:rsidR="00FC75CB" w:rsidRPr="005C446D">
        <w:rPr>
          <w:rFonts w:ascii="Times New Roman" w:hAnsi="Times New Roman"/>
          <w:color w:val="000000" w:themeColor="text1"/>
          <w:sz w:val="24"/>
          <w:szCs w:val="24"/>
          <w:lang w:val="en"/>
        </w:rPr>
        <w:t xml:space="preserve">Mild </w:t>
      </w:r>
      <w:r w:rsidRPr="005C446D">
        <w:rPr>
          <w:rFonts w:ascii="Times New Roman" w:hAnsi="Times New Roman"/>
          <w:color w:val="000000" w:themeColor="text1"/>
          <w:sz w:val="24"/>
          <w:szCs w:val="24"/>
          <w:lang w:val="en"/>
        </w:rPr>
        <w:t>Head Injury. Examination of GDS and EKG is only done under certain conditions depending on the patient's clinical condition such as the history of Diabetes mellitus disease, the patient has shortness of breath, chest pain, or the patient has previous history of heart disease. This is what causes the difference in the cost calculation in each patient.</w:t>
      </w:r>
    </w:p>
    <w:p w14:paraId="6EACA800" w14:textId="77777777" w:rsidR="00E278AB" w:rsidRPr="005C446D" w:rsidRDefault="00E278AB" w:rsidP="00744CE5">
      <w:pPr>
        <w:pStyle w:val="ListParagraph"/>
        <w:spacing w:after="0" w:line="240" w:lineRule="auto"/>
        <w:ind w:left="360" w:firstLine="701"/>
        <w:jc w:val="both"/>
        <w:rPr>
          <w:rFonts w:ascii="Times New Roman" w:hAnsi="Times New Roman"/>
          <w:color w:val="000000" w:themeColor="text1"/>
          <w:sz w:val="24"/>
          <w:szCs w:val="24"/>
          <w:lang w:val="en"/>
        </w:rPr>
      </w:pPr>
    </w:p>
    <w:p w14:paraId="2DA0E097" w14:textId="19D1E353" w:rsidR="00744CE5" w:rsidRPr="005C446D" w:rsidRDefault="00744CE5" w:rsidP="00744CE5">
      <w:pPr>
        <w:pStyle w:val="ListParagraph"/>
        <w:numPr>
          <w:ilvl w:val="0"/>
          <w:numId w:val="4"/>
        </w:numPr>
        <w:spacing w:after="0" w:line="240" w:lineRule="auto"/>
        <w:ind w:left="36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Overhead costs in the calculation of unit cost of patient care with diagnosis of </w:t>
      </w:r>
      <w:r w:rsidR="00FC75CB" w:rsidRPr="005C446D">
        <w:rPr>
          <w:rFonts w:ascii="Times New Roman" w:hAnsi="Times New Roman"/>
          <w:color w:val="000000" w:themeColor="text1"/>
          <w:sz w:val="24"/>
          <w:szCs w:val="24"/>
          <w:lang w:val="en"/>
        </w:rPr>
        <w:t>Mild Head Injury</w:t>
      </w:r>
      <w:r w:rsidRPr="005C446D">
        <w:rPr>
          <w:rFonts w:ascii="Times New Roman" w:hAnsi="Times New Roman"/>
          <w:color w:val="000000" w:themeColor="text1"/>
          <w:sz w:val="24"/>
          <w:szCs w:val="24"/>
          <w:lang w:val="en"/>
        </w:rPr>
        <w:t xml:space="preserve"> (CKR)</w:t>
      </w:r>
    </w:p>
    <w:p w14:paraId="0FD4C32C" w14:textId="2E0CCC67" w:rsidR="00744CE5" w:rsidRPr="005C446D"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Based on the research results obtained total overhead in accordance with clinical pathway for the diagnosis of head injury in RSUD</w:t>
      </w:r>
      <w:r w:rsidR="00FC75CB" w:rsidRPr="005C446D">
        <w:rPr>
          <w:rFonts w:ascii="Times New Roman" w:hAnsi="Times New Roman"/>
          <w:color w:val="000000" w:themeColor="text1"/>
          <w:sz w:val="24"/>
          <w:szCs w:val="24"/>
          <w:lang w:val="en"/>
        </w:rPr>
        <w:t xml:space="preserve"> </w:t>
      </w:r>
      <w:proofErr w:type="spellStart"/>
      <w:r w:rsidR="00FC75CB" w:rsidRPr="005C446D">
        <w:rPr>
          <w:rFonts w:ascii="Times New Roman" w:hAnsi="Times New Roman"/>
          <w:color w:val="000000" w:themeColor="text1"/>
          <w:sz w:val="24"/>
          <w:szCs w:val="24"/>
          <w:lang w:val="en"/>
        </w:rPr>
        <w:t>Panembahan</w:t>
      </w:r>
      <w:proofErr w:type="spellEnd"/>
      <w:r w:rsidR="00FC75CB" w:rsidRPr="005C446D">
        <w:rPr>
          <w:rFonts w:ascii="Times New Roman" w:hAnsi="Times New Roman"/>
          <w:color w:val="000000" w:themeColor="text1"/>
          <w:sz w:val="24"/>
          <w:szCs w:val="24"/>
          <w:lang w:val="en"/>
        </w:rPr>
        <w:t xml:space="preserve"> </w:t>
      </w:r>
      <w:proofErr w:type="spellStart"/>
      <w:r w:rsidR="00FC75CB" w:rsidRPr="005C446D">
        <w:rPr>
          <w:rFonts w:ascii="Times New Roman" w:hAnsi="Times New Roman"/>
          <w:color w:val="000000" w:themeColor="text1"/>
          <w:sz w:val="24"/>
          <w:szCs w:val="24"/>
          <w:lang w:val="en"/>
        </w:rPr>
        <w:t>Senopati</w:t>
      </w:r>
      <w:proofErr w:type="spellEnd"/>
      <w:r w:rsidR="00FC75CB" w:rsidRPr="005C446D">
        <w:rPr>
          <w:rFonts w:ascii="Times New Roman" w:hAnsi="Times New Roman"/>
          <w:color w:val="000000" w:themeColor="text1"/>
          <w:sz w:val="24"/>
          <w:szCs w:val="24"/>
          <w:lang w:val="en"/>
        </w:rPr>
        <w:t xml:space="preserve"> </w:t>
      </w:r>
      <w:proofErr w:type="spellStart"/>
      <w:r w:rsidR="00FC75CB" w:rsidRPr="005C446D">
        <w:rPr>
          <w:rFonts w:ascii="Times New Roman" w:hAnsi="Times New Roman"/>
          <w:color w:val="000000" w:themeColor="text1"/>
          <w:sz w:val="24"/>
          <w:szCs w:val="24"/>
          <w:lang w:val="en"/>
        </w:rPr>
        <w:t>Bantul</w:t>
      </w:r>
      <w:proofErr w:type="spellEnd"/>
      <w:r w:rsidR="00FC75CB" w:rsidRPr="005C446D">
        <w:rPr>
          <w:rFonts w:ascii="Times New Roman" w:hAnsi="Times New Roman"/>
          <w:color w:val="000000" w:themeColor="text1"/>
          <w:sz w:val="24"/>
          <w:szCs w:val="24"/>
          <w:lang w:val="en"/>
        </w:rPr>
        <w:t xml:space="preserve"> Rp.</w:t>
      </w:r>
      <w:r w:rsidRPr="005C446D">
        <w:rPr>
          <w:rFonts w:ascii="Times New Roman" w:hAnsi="Times New Roman"/>
          <w:color w:val="000000" w:themeColor="text1"/>
          <w:sz w:val="24"/>
          <w:szCs w:val="24"/>
          <w:lang w:val="en"/>
        </w:rPr>
        <w:t>1.270.062,30.</w:t>
      </w:r>
      <w:r w:rsidRPr="005C446D">
        <w:rPr>
          <w:color w:val="000000" w:themeColor="text1"/>
        </w:rPr>
        <w:t xml:space="preserve"> </w:t>
      </w:r>
      <w:r w:rsidRPr="005C446D">
        <w:rPr>
          <w:rFonts w:ascii="Times New Roman" w:hAnsi="Times New Roman"/>
          <w:color w:val="000000" w:themeColor="text1"/>
          <w:sz w:val="24"/>
          <w:szCs w:val="24"/>
          <w:lang w:val="en"/>
        </w:rPr>
        <w:t>Overhead or indirect expenses are outlays that are incurred in achieving project completion but that do not apply directly to any specific work item.</w:t>
      </w:r>
      <w:r w:rsidRPr="005C446D">
        <w:rPr>
          <w:rFonts w:ascii="Times New Roman" w:hAnsi="Times New Roman"/>
          <w:color w:val="000000" w:themeColor="text1"/>
          <w:sz w:val="24"/>
          <w:szCs w:val="24"/>
          <w:vertAlign w:val="superscript"/>
        </w:rPr>
        <w:t xml:space="preserve"> 1</w:t>
      </w:r>
      <w:r w:rsidR="00A65D13" w:rsidRPr="005C446D">
        <w:rPr>
          <w:rFonts w:ascii="Times New Roman" w:hAnsi="Times New Roman"/>
          <w:color w:val="000000" w:themeColor="text1"/>
          <w:sz w:val="24"/>
          <w:szCs w:val="24"/>
          <w:vertAlign w:val="superscript"/>
        </w:rPr>
        <w:t>4</w:t>
      </w:r>
    </w:p>
    <w:p w14:paraId="705018F1" w14:textId="260C4CE0" w:rsidR="00744CE5" w:rsidRPr="005C446D"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 Calculation of Overhead cost consists of two units, namely overhead cost of Emergency Installation Unit (IGD) and overhead cost of </w:t>
      </w:r>
      <w:proofErr w:type="spellStart"/>
      <w:r w:rsidRPr="005C446D">
        <w:rPr>
          <w:rFonts w:ascii="Times New Roman" w:hAnsi="Times New Roman"/>
          <w:color w:val="000000" w:themeColor="text1"/>
          <w:sz w:val="24"/>
          <w:szCs w:val="24"/>
          <w:lang w:val="en"/>
        </w:rPr>
        <w:t>Melati</w:t>
      </w:r>
      <w:proofErr w:type="spellEnd"/>
      <w:r w:rsidRPr="005C446D">
        <w:rPr>
          <w:rFonts w:ascii="Times New Roman" w:hAnsi="Times New Roman"/>
          <w:color w:val="000000" w:themeColor="text1"/>
          <w:sz w:val="24"/>
          <w:szCs w:val="24"/>
          <w:lang w:val="en"/>
        </w:rPr>
        <w:t xml:space="preserve"> Ward unit. The total overhead cost of the Emergency Installation Unit (IGD) was Rp.147.737,59, which consisted of indirect resource overhead cost of Rp.65.786,43 and direct resource overhead cost of Rp.81.951,16. The calculation of unit cost of patient care with diagnosis of head injury according to clinical pathway on </w:t>
      </w:r>
      <w:proofErr w:type="spellStart"/>
      <w:r w:rsidRPr="005C446D">
        <w:rPr>
          <w:rFonts w:ascii="Times New Roman" w:hAnsi="Times New Roman"/>
          <w:color w:val="000000" w:themeColor="text1"/>
          <w:sz w:val="24"/>
          <w:szCs w:val="24"/>
          <w:lang w:val="en"/>
        </w:rPr>
        <w:t>Melati</w:t>
      </w:r>
      <w:proofErr w:type="spellEnd"/>
      <w:r w:rsidR="00FC75CB" w:rsidRPr="005C446D">
        <w:rPr>
          <w:rFonts w:ascii="Times New Roman" w:hAnsi="Times New Roman"/>
          <w:color w:val="000000" w:themeColor="text1"/>
          <w:sz w:val="24"/>
          <w:szCs w:val="24"/>
          <w:lang w:val="en"/>
        </w:rPr>
        <w:t xml:space="preserve"> Ward unit</w:t>
      </w:r>
      <w:r w:rsidRPr="005C446D">
        <w:rPr>
          <w:rFonts w:ascii="Times New Roman" w:hAnsi="Times New Roman"/>
          <w:color w:val="000000" w:themeColor="text1"/>
          <w:sz w:val="24"/>
          <w:szCs w:val="24"/>
          <w:lang w:val="en"/>
        </w:rPr>
        <w:t xml:space="preserve"> got total cost of overhead equal to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1.122.324,71, which consists of indirect resource overhead cost of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560.258.01 and direct resource overhead cost of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562.066,70.</w:t>
      </w:r>
    </w:p>
    <w:p w14:paraId="4BD9CAF7" w14:textId="7531CE47" w:rsidR="00744CE5" w:rsidRPr="005C446D"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In this study the calculation of direct resource overhead cost is greater than the cost of indirect resource overhead, both in Emergency Installation Unit (IGD) and </w:t>
      </w:r>
      <w:proofErr w:type="spellStart"/>
      <w:r w:rsidRPr="005C446D">
        <w:rPr>
          <w:rFonts w:ascii="Times New Roman" w:hAnsi="Times New Roman"/>
          <w:color w:val="000000" w:themeColor="text1"/>
          <w:sz w:val="24"/>
          <w:szCs w:val="24"/>
          <w:lang w:val="en"/>
        </w:rPr>
        <w:t>Melati</w:t>
      </w:r>
      <w:proofErr w:type="spellEnd"/>
      <w:r w:rsidRPr="005C446D">
        <w:rPr>
          <w:rFonts w:ascii="Times New Roman" w:hAnsi="Times New Roman"/>
          <w:color w:val="000000" w:themeColor="text1"/>
          <w:sz w:val="24"/>
          <w:szCs w:val="24"/>
          <w:lang w:val="en"/>
        </w:rPr>
        <w:t xml:space="preserve"> Ward unit. According to the researchers the high cost of direct resource overhead is due to the cost of charging only charged to one functional unit that is the unit itself, while the calculation of indirect resource overhead cost is lower because the total cost is charged to all functional units in hospital such as Emergency Installation Unit IGD) get the cost of 3.61%, the outpatient unit is 13.04%, the hospitalization unit is 29.80%, the central surgery installation unit is 16.24%, the hemodialysis unit is 12.02%, the </w:t>
      </w:r>
      <w:proofErr w:type="spellStart"/>
      <w:r w:rsidRPr="005C446D">
        <w:rPr>
          <w:rFonts w:ascii="Times New Roman" w:hAnsi="Times New Roman"/>
          <w:color w:val="000000" w:themeColor="text1"/>
          <w:sz w:val="24"/>
          <w:szCs w:val="24"/>
          <w:lang w:val="en"/>
        </w:rPr>
        <w:t>electromedical</w:t>
      </w:r>
      <w:proofErr w:type="spellEnd"/>
      <w:r w:rsidRPr="005C446D">
        <w:rPr>
          <w:rFonts w:ascii="Times New Roman" w:hAnsi="Times New Roman"/>
          <w:color w:val="000000" w:themeColor="text1"/>
          <w:sz w:val="24"/>
          <w:szCs w:val="24"/>
          <w:lang w:val="en"/>
        </w:rPr>
        <w:t xml:space="preserve"> unit is 0.86%, Pharmacy unit 2.15%, Laboratory unit 15.82%, Radiology unit 3.78%, Nutrition unit 2.11%, and medical record unit 0.57%. The   nearly of overhead costs and total costs in the setting of increased inpatient days and decreased inpatient bed capacity suggests that hospitals have failed to control overhead costs.</w:t>
      </w:r>
      <w:r w:rsidRPr="005C446D">
        <w:rPr>
          <w:rFonts w:ascii="Times New Roman" w:hAnsi="Times New Roman"/>
          <w:color w:val="000000" w:themeColor="text1"/>
          <w:sz w:val="24"/>
          <w:szCs w:val="24"/>
          <w:vertAlign w:val="superscript"/>
        </w:rPr>
        <w:t xml:space="preserve"> 1</w:t>
      </w:r>
      <w:r w:rsidR="00A65D13" w:rsidRPr="005C446D">
        <w:rPr>
          <w:rFonts w:ascii="Times New Roman" w:hAnsi="Times New Roman"/>
          <w:color w:val="000000" w:themeColor="text1"/>
          <w:sz w:val="24"/>
          <w:szCs w:val="24"/>
          <w:vertAlign w:val="superscript"/>
        </w:rPr>
        <w:t>5</w:t>
      </w:r>
    </w:p>
    <w:p w14:paraId="7D4C317B" w14:textId="6C4C4A13" w:rsidR="00744CE5" w:rsidRPr="005C446D"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The calculation of overhead cost both on indirect resource overhead and direct resource overhead in the calculation has four categories: labor related, equipment related, </w:t>
      </w:r>
      <w:r w:rsidRPr="005C446D">
        <w:rPr>
          <w:rFonts w:ascii="Times New Roman" w:hAnsi="Times New Roman"/>
          <w:color w:val="000000" w:themeColor="text1"/>
          <w:sz w:val="24"/>
          <w:szCs w:val="24"/>
          <w:lang w:val="en"/>
        </w:rPr>
        <w:lastRenderedPageBreak/>
        <w:t xml:space="preserve">space related, and service related. Labor related consists of the cost of salary. The hospital unit cost studies from developing countries reported that human resource was the largest component </w:t>
      </w:r>
      <w:r w:rsidRPr="005C446D">
        <w:rPr>
          <w:rFonts w:ascii="Times New Roman" w:hAnsi="Times New Roman"/>
          <w:color w:val="000000" w:themeColor="text1"/>
          <w:sz w:val="24"/>
          <w:szCs w:val="24"/>
        </w:rPr>
        <w:t>of the total cost of a hospital.</w:t>
      </w:r>
      <w:r w:rsidRPr="005C446D">
        <w:rPr>
          <w:rFonts w:ascii="Times New Roman" w:hAnsi="Times New Roman"/>
          <w:color w:val="000000" w:themeColor="text1"/>
          <w:sz w:val="24"/>
          <w:szCs w:val="24"/>
          <w:vertAlign w:val="superscript"/>
        </w:rPr>
        <w:t xml:space="preserve"> 1</w:t>
      </w:r>
      <w:r w:rsidR="00A65D13" w:rsidRPr="005C446D">
        <w:rPr>
          <w:rFonts w:ascii="Times New Roman" w:hAnsi="Times New Roman"/>
          <w:color w:val="000000" w:themeColor="text1"/>
          <w:sz w:val="24"/>
          <w:szCs w:val="24"/>
          <w:vertAlign w:val="superscript"/>
        </w:rPr>
        <w:t>6</w:t>
      </w:r>
      <w:r w:rsidRPr="005C446D">
        <w:rPr>
          <w:rFonts w:ascii="ChjycjAdvTT86d47313" w:hAnsi="ChjycjAdvTT86d47313" w:cs="ChjycjAdvTT86d47313"/>
          <w:color w:val="000000" w:themeColor="text1"/>
        </w:rPr>
        <w:t xml:space="preserve"> </w:t>
      </w:r>
      <w:r w:rsidRPr="005C446D">
        <w:rPr>
          <w:rFonts w:ascii="Times New Roman" w:hAnsi="Times New Roman"/>
          <w:color w:val="000000" w:themeColor="text1"/>
          <w:sz w:val="24"/>
          <w:szCs w:val="24"/>
          <w:lang w:val="en"/>
        </w:rPr>
        <w:t xml:space="preserve">The total cost of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hospital employee in 2016 was Rp.25.709.053.905. RSUD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itself has an employee number of 819 people, consisting of 450 civil servants (civil servants) and non-civil servants as many as 369 people. In the IGD unit the amount of salary costs of employees to be issued by the hospital amounted to Rp.1.026.000.000, with a total number of IGD employees of 43 people consisting of 15 general practitioners, 24 nurses, and administrative officers of 4 people. Total cost of employees who must be issued hospital on </w:t>
      </w:r>
      <w:proofErr w:type="spellStart"/>
      <w:r w:rsidRPr="005C446D">
        <w:rPr>
          <w:rFonts w:ascii="Times New Roman" w:hAnsi="Times New Roman"/>
          <w:color w:val="000000" w:themeColor="text1"/>
          <w:sz w:val="24"/>
          <w:szCs w:val="24"/>
          <w:lang w:val="en"/>
        </w:rPr>
        <w:t>Melati</w:t>
      </w:r>
      <w:proofErr w:type="spellEnd"/>
      <w:r w:rsidRPr="005C446D">
        <w:rPr>
          <w:rFonts w:ascii="Times New Roman" w:hAnsi="Times New Roman"/>
          <w:color w:val="000000" w:themeColor="text1"/>
          <w:sz w:val="24"/>
          <w:szCs w:val="24"/>
          <w:lang w:val="en"/>
        </w:rPr>
        <w:t xml:space="preserve"> unit </w:t>
      </w:r>
      <w:proofErr w:type="spellStart"/>
      <w:r w:rsidR="005F3299" w:rsidRPr="005C446D">
        <w:rPr>
          <w:rFonts w:ascii="Times New Roman" w:hAnsi="Times New Roman"/>
          <w:color w:val="000000" w:themeColor="text1"/>
          <w:sz w:val="24"/>
          <w:szCs w:val="24"/>
          <w:lang w:val="en"/>
        </w:rPr>
        <w:t>manny</w:t>
      </w:r>
      <w:proofErr w:type="spellEnd"/>
      <w:r w:rsidRPr="005C446D">
        <w:rPr>
          <w:rFonts w:ascii="Times New Roman" w:hAnsi="Times New Roman"/>
          <w:color w:val="000000" w:themeColor="text1"/>
          <w:sz w:val="24"/>
          <w:szCs w:val="24"/>
          <w:lang w:val="en"/>
        </w:rPr>
        <w:t xml:space="preserve"> as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486,337,000 with total number of employees as many as 20 employees consisting of the number of nurses as many as 18 people, and administrative officers as much as 2 people. Equipment related consists of the cost of depreciation of medical and </w:t>
      </w:r>
      <w:proofErr w:type="spellStart"/>
      <w:r w:rsidRPr="005C446D">
        <w:rPr>
          <w:rFonts w:ascii="Times New Roman" w:hAnsi="Times New Roman"/>
          <w:color w:val="000000" w:themeColor="text1"/>
          <w:sz w:val="24"/>
          <w:szCs w:val="24"/>
          <w:lang w:val="en"/>
        </w:rPr>
        <w:t>non medical</w:t>
      </w:r>
      <w:proofErr w:type="spellEnd"/>
      <w:r w:rsidRPr="005C446D">
        <w:rPr>
          <w:rFonts w:ascii="Times New Roman" w:hAnsi="Times New Roman"/>
          <w:color w:val="000000" w:themeColor="text1"/>
          <w:sz w:val="24"/>
          <w:szCs w:val="24"/>
          <w:lang w:val="en"/>
        </w:rPr>
        <w:t xml:space="preserve"> equipment with total hospital cost of Rp.8,396,763,583, Space related consists of the cost of building depreciation and maintenance cost of equipment and buildings w</w:t>
      </w:r>
      <w:r w:rsidR="005F3299" w:rsidRPr="005C446D">
        <w:rPr>
          <w:rFonts w:ascii="Times New Roman" w:hAnsi="Times New Roman"/>
          <w:color w:val="000000" w:themeColor="text1"/>
          <w:sz w:val="24"/>
          <w:szCs w:val="24"/>
          <w:lang w:val="en"/>
        </w:rPr>
        <w:t>ith total hospital costs of Rp.</w:t>
      </w:r>
      <w:r w:rsidRPr="005C446D">
        <w:rPr>
          <w:rFonts w:ascii="Times New Roman" w:hAnsi="Times New Roman"/>
          <w:color w:val="000000" w:themeColor="text1"/>
          <w:sz w:val="24"/>
          <w:szCs w:val="24"/>
          <w:lang w:val="en"/>
        </w:rPr>
        <w:t xml:space="preserve">2,924,527,146, and Service related consisting of electricity, water, telephone, hygiene cost, ATK cost and household appliances, got total hospital cost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6.197.307.714.</w:t>
      </w:r>
    </w:p>
    <w:p w14:paraId="6F132E06" w14:textId="572F938E" w:rsidR="00744CE5" w:rsidRDefault="00744CE5" w:rsidP="00744CE5">
      <w:pPr>
        <w:pStyle w:val="ListParagraph"/>
        <w:spacing w:after="0" w:line="240" w:lineRule="auto"/>
        <w:ind w:left="360" w:firstLine="701"/>
        <w:jc w:val="both"/>
        <w:rPr>
          <w:rFonts w:ascii="Times New Roman" w:hAnsi="Times New Roman"/>
          <w:color w:val="000000" w:themeColor="text1"/>
          <w:sz w:val="24"/>
          <w:szCs w:val="24"/>
          <w:vertAlign w:val="superscript"/>
        </w:rPr>
      </w:pPr>
      <w:r w:rsidRPr="005C446D">
        <w:rPr>
          <w:rFonts w:ascii="Times New Roman" w:hAnsi="Times New Roman"/>
          <w:color w:val="000000" w:themeColor="text1"/>
          <w:sz w:val="24"/>
          <w:szCs w:val="24"/>
          <w:lang w:val="en"/>
        </w:rPr>
        <w:t xml:space="preserve">The study by </w:t>
      </w:r>
      <w:proofErr w:type="spellStart"/>
      <w:r w:rsidRPr="005C446D">
        <w:rPr>
          <w:rFonts w:ascii="Times New Roman" w:hAnsi="Times New Roman"/>
          <w:color w:val="000000" w:themeColor="text1"/>
          <w:sz w:val="24"/>
          <w:szCs w:val="24"/>
          <w:lang w:val="en"/>
        </w:rPr>
        <w:t>Kalman</w:t>
      </w:r>
      <w:proofErr w:type="spellEnd"/>
      <w:r w:rsidRPr="005C446D">
        <w:rPr>
          <w:rFonts w:ascii="Times New Roman" w:hAnsi="Times New Roman"/>
          <w:color w:val="000000" w:themeColor="text1"/>
          <w:sz w:val="24"/>
          <w:szCs w:val="24"/>
          <w:lang w:val="en"/>
        </w:rPr>
        <w:t xml:space="preserve"> et al (2015) states that "this study’s inclusion of staff salaries in the calculation of overhead costs is likely led to the higher percentage. The calculation of costs with the addition of salary to the staff can cause the percentage of overhead costs to be higher. To overcome the cost of care adequately, the hospital needs to overcome the overhead as well as direct patient costs.</w:t>
      </w:r>
      <w:r w:rsidRPr="005C446D">
        <w:rPr>
          <w:rFonts w:ascii="Times New Roman" w:hAnsi="Times New Roman"/>
          <w:color w:val="000000" w:themeColor="text1"/>
          <w:sz w:val="24"/>
          <w:szCs w:val="24"/>
          <w:vertAlign w:val="superscript"/>
        </w:rPr>
        <w:t>1</w:t>
      </w:r>
      <w:r w:rsidR="00A65D13" w:rsidRPr="005C446D">
        <w:rPr>
          <w:rFonts w:ascii="Times New Roman" w:hAnsi="Times New Roman"/>
          <w:color w:val="000000" w:themeColor="text1"/>
          <w:sz w:val="24"/>
          <w:szCs w:val="24"/>
          <w:vertAlign w:val="superscript"/>
        </w:rPr>
        <w:t>7</w:t>
      </w:r>
    </w:p>
    <w:p w14:paraId="70B5F265" w14:textId="77777777" w:rsidR="00E278AB" w:rsidRPr="005C446D" w:rsidRDefault="00E278AB" w:rsidP="00744CE5">
      <w:pPr>
        <w:pStyle w:val="ListParagraph"/>
        <w:spacing w:after="0" w:line="240" w:lineRule="auto"/>
        <w:ind w:left="360" w:firstLine="701"/>
        <w:jc w:val="both"/>
        <w:rPr>
          <w:rFonts w:ascii="Times New Roman" w:hAnsi="Times New Roman"/>
          <w:color w:val="000000" w:themeColor="text1"/>
          <w:sz w:val="24"/>
          <w:szCs w:val="24"/>
          <w:lang w:val="en"/>
        </w:rPr>
      </w:pPr>
    </w:p>
    <w:p w14:paraId="4DD97D36" w14:textId="67D845A4" w:rsidR="00744CE5" w:rsidRPr="005C446D" w:rsidRDefault="00744CE5" w:rsidP="00744CE5">
      <w:pPr>
        <w:pStyle w:val="ListParagraph"/>
        <w:numPr>
          <w:ilvl w:val="0"/>
          <w:numId w:val="4"/>
        </w:numPr>
        <w:autoSpaceDE w:val="0"/>
        <w:autoSpaceDN w:val="0"/>
        <w:adjustRightInd w:val="0"/>
        <w:spacing w:after="0" w:line="240" w:lineRule="auto"/>
        <w:ind w:left="360"/>
        <w:jc w:val="both"/>
        <w:rPr>
          <w:rFonts w:ascii="Times New Roman" w:hAnsi="Times New Roman"/>
          <w:color w:val="000000" w:themeColor="text1"/>
          <w:sz w:val="24"/>
          <w:szCs w:val="24"/>
        </w:rPr>
      </w:pPr>
      <w:r w:rsidRPr="005C446D">
        <w:rPr>
          <w:rFonts w:ascii="Times New Roman" w:hAnsi="Times New Roman"/>
          <w:color w:val="000000" w:themeColor="text1"/>
          <w:sz w:val="24"/>
          <w:szCs w:val="24"/>
          <w:lang w:val="en"/>
        </w:rPr>
        <w:t xml:space="preserve">Unit cost of Patient Head Injury to </w:t>
      </w:r>
      <w:proofErr w:type="spellStart"/>
      <w:r w:rsidRPr="005C446D">
        <w:rPr>
          <w:rFonts w:ascii="Times New Roman" w:hAnsi="Times New Roman"/>
          <w:color w:val="000000" w:themeColor="text1"/>
          <w:sz w:val="24"/>
          <w:szCs w:val="24"/>
          <w:lang w:val="en"/>
        </w:rPr>
        <w:t>Melati</w:t>
      </w:r>
      <w:proofErr w:type="spellEnd"/>
      <w:r w:rsidRPr="005C446D">
        <w:rPr>
          <w:rFonts w:ascii="Times New Roman" w:hAnsi="Times New Roman"/>
          <w:color w:val="000000" w:themeColor="text1"/>
          <w:sz w:val="24"/>
          <w:szCs w:val="24"/>
          <w:lang w:val="en"/>
        </w:rPr>
        <w:t xml:space="preserve"> Ward (class III) through Activity Based Costing (ABC) calculation as well as difference with </w:t>
      </w:r>
      <w:r w:rsidR="005F3299" w:rsidRPr="005C446D">
        <w:rPr>
          <w:rFonts w:ascii="Times New Roman" w:hAnsi="Times New Roman"/>
          <w:color w:val="000000" w:themeColor="text1"/>
          <w:sz w:val="24"/>
          <w:szCs w:val="24"/>
          <w:lang w:val="en"/>
        </w:rPr>
        <w:t>mild</w:t>
      </w:r>
      <w:r w:rsidRPr="005C446D">
        <w:rPr>
          <w:rFonts w:ascii="Times New Roman" w:hAnsi="Times New Roman"/>
          <w:color w:val="000000" w:themeColor="text1"/>
          <w:sz w:val="24"/>
          <w:szCs w:val="24"/>
          <w:lang w:val="en"/>
        </w:rPr>
        <w:t xml:space="preserve"> head injury treatment tariff and INA CBGs tariff in RSUD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p>
    <w:p w14:paraId="7888964E" w14:textId="18C7B0BE" w:rsidR="009E56DD" w:rsidRPr="005C446D" w:rsidRDefault="00744CE5" w:rsidP="009E56DD">
      <w:pPr>
        <w:pStyle w:val="ListParagraph"/>
        <w:autoSpaceDE w:val="0"/>
        <w:autoSpaceDN w:val="0"/>
        <w:adjustRightInd w:val="0"/>
        <w:spacing w:after="0" w:line="240" w:lineRule="auto"/>
        <w:ind w:left="363" w:firstLine="720"/>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Based on the calculation of unit cost in inpatients with diagnosis of head injury with Activity Based Costing method in RSUD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obtained unit cost of Rp.2.301.989,30 with direct cost of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1,031,927, and overhead cost of Rp.1.270.062,30. Calculation of Real Cost in accordance with the management policy applied </w:t>
      </w:r>
      <w:r w:rsidR="005F3299" w:rsidRPr="005C446D">
        <w:rPr>
          <w:rFonts w:ascii="Times New Roman" w:hAnsi="Times New Roman"/>
          <w:color w:val="000000" w:themeColor="text1"/>
          <w:sz w:val="24"/>
          <w:szCs w:val="24"/>
          <w:lang w:val="en"/>
        </w:rPr>
        <w:t>hospital</w:t>
      </w:r>
      <w:r w:rsidRPr="005C446D">
        <w:rPr>
          <w:rFonts w:ascii="Times New Roman" w:hAnsi="Times New Roman"/>
          <w:color w:val="000000" w:themeColor="text1"/>
          <w:sz w:val="24"/>
          <w:szCs w:val="24"/>
          <w:lang w:val="en"/>
        </w:rPr>
        <w:t xml:space="preserve"> is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2.386.357,00, while INA CBG's tariff for diagnosis of </w:t>
      </w:r>
      <w:r w:rsidR="005F3299" w:rsidRPr="005C446D">
        <w:rPr>
          <w:rFonts w:ascii="Times New Roman" w:hAnsi="Times New Roman"/>
          <w:color w:val="000000" w:themeColor="text1"/>
          <w:sz w:val="24"/>
          <w:szCs w:val="24"/>
          <w:lang w:val="en"/>
        </w:rPr>
        <w:t>Mild</w:t>
      </w:r>
      <w:r w:rsidRPr="005C446D">
        <w:rPr>
          <w:rFonts w:ascii="Times New Roman" w:hAnsi="Times New Roman"/>
          <w:color w:val="000000" w:themeColor="text1"/>
          <w:sz w:val="24"/>
          <w:szCs w:val="24"/>
          <w:lang w:val="en"/>
        </w:rPr>
        <w:t xml:space="preserve"> Head Injury set by the government with ICD BPJS SO6.0 coding is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2.448.800,00.</w:t>
      </w:r>
    </w:p>
    <w:p w14:paraId="2CF044D8" w14:textId="77777777" w:rsidR="009E56DD" w:rsidRPr="005C446D" w:rsidRDefault="009E56DD" w:rsidP="009E56DD">
      <w:pPr>
        <w:pStyle w:val="ListParagraph"/>
        <w:autoSpaceDE w:val="0"/>
        <w:autoSpaceDN w:val="0"/>
        <w:adjustRightInd w:val="0"/>
        <w:spacing w:after="0" w:line="240" w:lineRule="auto"/>
        <w:ind w:left="363" w:firstLine="720"/>
        <w:jc w:val="both"/>
        <w:rPr>
          <w:rFonts w:ascii="Times New Roman" w:hAnsi="Times New Roman"/>
          <w:color w:val="000000" w:themeColor="text1"/>
          <w:sz w:val="24"/>
          <w:szCs w:val="24"/>
          <w:lang w:val="en"/>
        </w:rPr>
      </w:pPr>
    </w:p>
    <w:p w14:paraId="02D97D2E" w14:textId="34B0AA78" w:rsidR="00744CE5" w:rsidRPr="005C446D" w:rsidRDefault="009E56DD" w:rsidP="00744CE5">
      <w:pPr>
        <w:pStyle w:val="ListParagraph"/>
        <w:autoSpaceDE w:val="0"/>
        <w:autoSpaceDN w:val="0"/>
        <w:adjustRightInd w:val="0"/>
        <w:spacing w:after="0" w:line="240" w:lineRule="auto"/>
        <w:ind w:left="993" w:hanging="567"/>
        <w:jc w:val="both"/>
        <w:rPr>
          <w:rFonts w:ascii="Times New Roman" w:hAnsi="Times New Roman"/>
          <w:color w:val="000000" w:themeColor="text1"/>
          <w:sz w:val="24"/>
          <w:szCs w:val="24"/>
        </w:rPr>
      </w:pPr>
      <w:r w:rsidRPr="005C446D">
        <w:rPr>
          <w:rFonts w:ascii="Times New Roman" w:hAnsi="Times New Roman"/>
          <w:color w:val="000000" w:themeColor="text1"/>
          <w:sz w:val="24"/>
          <w:szCs w:val="24"/>
          <w:lang w:val="en"/>
        </w:rPr>
        <w:t>Table 6</w:t>
      </w:r>
      <w:r w:rsidR="00744CE5" w:rsidRPr="005C446D">
        <w:rPr>
          <w:rFonts w:ascii="Times New Roman" w:hAnsi="Times New Roman"/>
          <w:color w:val="000000" w:themeColor="text1"/>
          <w:sz w:val="24"/>
          <w:szCs w:val="24"/>
          <w:lang w:val="en"/>
        </w:rPr>
        <w:t xml:space="preserve"> Unit cost method of Activity Based Costing (ABC), Real Cost, and Rates of INA CBGs Mild Headache Injury treatment in inpatient class III patients in 2016</w:t>
      </w:r>
    </w:p>
    <w:tbl>
      <w:tblPr>
        <w:tblW w:w="854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212"/>
        <w:gridCol w:w="3439"/>
      </w:tblGrid>
      <w:tr w:rsidR="005C446D" w:rsidRPr="005C446D" w14:paraId="363048A3" w14:textId="77777777" w:rsidTr="009E56DD">
        <w:trPr>
          <w:trHeight w:val="521"/>
        </w:trPr>
        <w:tc>
          <w:tcPr>
            <w:tcW w:w="2891" w:type="dxa"/>
            <w:shd w:val="clear" w:color="auto" w:fill="auto"/>
            <w:vAlign w:val="center"/>
          </w:tcPr>
          <w:p w14:paraId="6CA3EF0D" w14:textId="77777777" w:rsidR="00744CE5" w:rsidRPr="005C446D" w:rsidRDefault="00744CE5" w:rsidP="00AC74A0">
            <w:pPr>
              <w:pStyle w:val="ListParagraph"/>
              <w:spacing w:after="0" w:line="240" w:lineRule="auto"/>
              <w:ind w:left="0"/>
              <w:jc w:val="center"/>
              <w:rPr>
                <w:rFonts w:ascii="Times New Roman" w:hAnsi="Times New Roman"/>
                <w:color w:val="000000" w:themeColor="text1"/>
                <w:sz w:val="24"/>
                <w:szCs w:val="24"/>
              </w:rPr>
            </w:pPr>
            <w:r w:rsidRPr="005C446D">
              <w:rPr>
                <w:rFonts w:ascii="Times New Roman" w:hAnsi="Times New Roman"/>
                <w:color w:val="000000" w:themeColor="text1"/>
                <w:sz w:val="24"/>
                <w:szCs w:val="24"/>
              </w:rPr>
              <w:t>Unit Cost</w:t>
            </w:r>
          </w:p>
        </w:tc>
        <w:tc>
          <w:tcPr>
            <w:tcW w:w="2212" w:type="dxa"/>
            <w:shd w:val="clear" w:color="auto" w:fill="auto"/>
            <w:vAlign w:val="center"/>
          </w:tcPr>
          <w:p w14:paraId="6816BF68" w14:textId="77777777" w:rsidR="00744CE5" w:rsidRPr="005C446D" w:rsidRDefault="00744CE5" w:rsidP="00AC74A0">
            <w:pPr>
              <w:pStyle w:val="ListParagraph"/>
              <w:spacing w:after="0" w:line="240" w:lineRule="auto"/>
              <w:ind w:left="0"/>
              <w:jc w:val="center"/>
              <w:rPr>
                <w:rFonts w:ascii="Times New Roman" w:hAnsi="Times New Roman"/>
                <w:color w:val="000000" w:themeColor="text1"/>
                <w:sz w:val="24"/>
                <w:szCs w:val="24"/>
              </w:rPr>
            </w:pPr>
            <w:r w:rsidRPr="005C446D">
              <w:rPr>
                <w:rFonts w:ascii="Times New Roman" w:hAnsi="Times New Roman"/>
                <w:color w:val="000000" w:themeColor="text1"/>
                <w:sz w:val="24"/>
                <w:szCs w:val="24"/>
              </w:rPr>
              <w:t>Real Cost</w:t>
            </w:r>
          </w:p>
        </w:tc>
        <w:tc>
          <w:tcPr>
            <w:tcW w:w="3439" w:type="dxa"/>
            <w:shd w:val="clear" w:color="auto" w:fill="auto"/>
            <w:vAlign w:val="center"/>
          </w:tcPr>
          <w:p w14:paraId="4BB9E919" w14:textId="77777777" w:rsidR="00744CE5" w:rsidRPr="005C446D" w:rsidRDefault="00744CE5" w:rsidP="00AC74A0">
            <w:pPr>
              <w:pStyle w:val="ListParagraph"/>
              <w:spacing w:after="0" w:line="240" w:lineRule="auto"/>
              <w:ind w:left="0"/>
              <w:jc w:val="center"/>
              <w:rPr>
                <w:rFonts w:ascii="Times New Roman" w:hAnsi="Times New Roman"/>
                <w:color w:val="000000" w:themeColor="text1"/>
                <w:sz w:val="24"/>
                <w:szCs w:val="24"/>
              </w:rPr>
            </w:pPr>
            <w:proofErr w:type="spellStart"/>
            <w:r w:rsidRPr="005C446D">
              <w:rPr>
                <w:rFonts w:ascii="Times New Roman" w:hAnsi="Times New Roman"/>
                <w:bCs/>
                <w:color w:val="000000" w:themeColor="text1"/>
                <w:sz w:val="24"/>
                <w:szCs w:val="24"/>
              </w:rPr>
              <w:t>Tarif</w:t>
            </w:r>
            <w:proofErr w:type="spellEnd"/>
            <w:r w:rsidRPr="005C446D">
              <w:rPr>
                <w:rFonts w:ascii="Times New Roman" w:hAnsi="Times New Roman"/>
                <w:bCs/>
                <w:color w:val="000000" w:themeColor="text1"/>
                <w:sz w:val="24"/>
                <w:szCs w:val="24"/>
              </w:rPr>
              <w:t xml:space="preserve"> INA CBGs (</w:t>
            </w:r>
            <w:proofErr w:type="spellStart"/>
            <w:r w:rsidRPr="005C446D">
              <w:rPr>
                <w:rFonts w:ascii="Times New Roman" w:hAnsi="Times New Roman"/>
                <w:bCs/>
                <w:color w:val="000000" w:themeColor="text1"/>
                <w:sz w:val="24"/>
                <w:szCs w:val="24"/>
              </w:rPr>
              <w:t>Rp</w:t>
            </w:r>
            <w:proofErr w:type="spellEnd"/>
            <w:r w:rsidRPr="005C446D">
              <w:rPr>
                <w:rFonts w:ascii="Times New Roman" w:hAnsi="Times New Roman"/>
                <w:bCs/>
                <w:color w:val="000000" w:themeColor="text1"/>
                <w:sz w:val="24"/>
                <w:szCs w:val="24"/>
              </w:rPr>
              <w:t>)</w:t>
            </w:r>
          </w:p>
        </w:tc>
      </w:tr>
      <w:tr w:rsidR="009E56DD" w:rsidRPr="005C446D" w14:paraId="4DF91E23" w14:textId="77777777" w:rsidTr="009E56DD">
        <w:trPr>
          <w:trHeight w:val="535"/>
        </w:trPr>
        <w:tc>
          <w:tcPr>
            <w:tcW w:w="2891" w:type="dxa"/>
            <w:shd w:val="clear" w:color="auto" w:fill="auto"/>
            <w:vAlign w:val="center"/>
          </w:tcPr>
          <w:p w14:paraId="755F65E9" w14:textId="77777777" w:rsidR="00744CE5" w:rsidRPr="005C446D" w:rsidRDefault="00744CE5" w:rsidP="00AC74A0">
            <w:pPr>
              <w:pStyle w:val="ListParagraph"/>
              <w:spacing w:after="0" w:line="240" w:lineRule="auto"/>
              <w:ind w:left="0"/>
              <w:jc w:val="center"/>
              <w:rPr>
                <w:rFonts w:ascii="Times New Roman" w:hAnsi="Times New Roman"/>
                <w:color w:val="000000" w:themeColor="text1"/>
                <w:sz w:val="24"/>
                <w:szCs w:val="24"/>
              </w:rPr>
            </w:pPr>
            <w:r w:rsidRPr="005C446D">
              <w:rPr>
                <w:rFonts w:ascii="Times New Roman" w:hAnsi="Times New Roman"/>
                <w:color w:val="000000" w:themeColor="text1"/>
                <w:sz w:val="24"/>
                <w:szCs w:val="24"/>
              </w:rPr>
              <w:t>2.301.989,30</w:t>
            </w:r>
          </w:p>
        </w:tc>
        <w:tc>
          <w:tcPr>
            <w:tcW w:w="2212" w:type="dxa"/>
            <w:shd w:val="clear" w:color="auto" w:fill="auto"/>
            <w:vAlign w:val="center"/>
          </w:tcPr>
          <w:p w14:paraId="67D58D89" w14:textId="77777777" w:rsidR="00744CE5" w:rsidRPr="005C446D" w:rsidRDefault="00744CE5" w:rsidP="00AC74A0">
            <w:pPr>
              <w:pStyle w:val="ListParagraph"/>
              <w:spacing w:after="0" w:line="240" w:lineRule="auto"/>
              <w:ind w:left="0"/>
              <w:jc w:val="center"/>
              <w:rPr>
                <w:rFonts w:ascii="Times New Roman" w:hAnsi="Times New Roman"/>
                <w:color w:val="000000" w:themeColor="text1"/>
                <w:sz w:val="24"/>
                <w:szCs w:val="24"/>
              </w:rPr>
            </w:pPr>
            <w:r w:rsidRPr="005C446D">
              <w:rPr>
                <w:rFonts w:ascii="Times New Roman" w:hAnsi="Times New Roman"/>
                <w:color w:val="000000" w:themeColor="text1"/>
                <w:sz w:val="24"/>
                <w:szCs w:val="24"/>
              </w:rPr>
              <w:t>2.386.357,00</w:t>
            </w:r>
          </w:p>
        </w:tc>
        <w:tc>
          <w:tcPr>
            <w:tcW w:w="3439" w:type="dxa"/>
            <w:shd w:val="clear" w:color="auto" w:fill="auto"/>
            <w:vAlign w:val="center"/>
          </w:tcPr>
          <w:p w14:paraId="06A39E35" w14:textId="77777777" w:rsidR="00744CE5" w:rsidRPr="005C446D" w:rsidRDefault="00744CE5" w:rsidP="00AC74A0">
            <w:pPr>
              <w:pStyle w:val="ListParagraph"/>
              <w:spacing w:after="0" w:line="240" w:lineRule="auto"/>
              <w:ind w:left="0"/>
              <w:jc w:val="center"/>
              <w:rPr>
                <w:rFonts w:ascii="Times New Roman" w:hAnsi="Times New Roman"/>
                <w:color w:val="000000" w:themeColor="text1"/>
                <w:sz w:val="24"/>
                <w:szCs w:val="24"/>
              </w:rPr>
            </w:pPr>
            <w:r w:rsidRPr="005C446D">
              <w:rPr>
                <w:rFonts w:ascii="Times New Roman" w:hAnsi="Times New Roman"/>
                <w:color w:val="000000" w:themeColor="text1"/>
                <w:sz w:val="24"/>
                <w:szCs w:val="24"/>
              </w:rPr>
              <w:t>2.448.800,00</w:t>
            </w:r>
          </w:p>
        </w:tc>
      </w:tr>
    </w:tbl>
    <w:p w14:paraId="188DE172" w14:textId="77777777" w:rsidR="009E56DD" w:rsidRPr="005C446D" w:rsidRDefault="009E56DD" w:rsidP="00744CE5">
      <w:pPr>
        <w:pStyle w:val="ListParagraph"/>
        <w:spacing w:after="0" w:line="240" w:lineRule="auto"/>
        <w:ind w:left="360" w:firstLine="701"/>
        <w:jc w:val="both"/>
        <w:rPr>
          <w:rFonts w:ascii="Times New Roman" w:hAnsi="Times New Roman"/>
          <w:color w:val="000000" w:themeColor="text1"/>
          <w:sz w:val="24"/>
          <w:szCs w:val="24"/>
          <w:lang w:val="en"/>
        </w:rPr>
      </w:pPr>
    </w:p>
    <w:p w14:paraId="6905F81C" w14:textId="439260D9" w:rsidR="00744CE5"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In table </w:t>
      </w:r>
      <w:r w:rsidR="008F72C6" w:rsidRPr="005C446D">
        <w:rPr>
          <w:rFonts w:ascii="Times New Roman" w:hAnsi="Times New Roman"/>
          <w:color w:val="000000" w:themeColor="text1"/>
          <w:sz w:val="24"/>
          <w:szCs w:val="24"/>
          <w:lang w:val="en"/>
        </w:rPr>
        <w:t>6</w:t>
      </w:r>
      <w:r w:rsidRPr="005C446D">
        <w:rPr>
          <w:rFonts w:ascii="Times New Roman" w:hAnsi="Times New Roman"/>
          <w:color w:val="000000" w:themeColor="text1"/>
          <w:sz w:val="24"/>
          <w:szCs w:val="24"/>
          <w:lang w:val="en"/>
        </w:rPr>
        <w:t xml:space="preserve"> found that the calculation of unit cost with ABC method obtained cost of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2,301,989.30. Total cost is lower than the cost of hospital’s real cost with the difference in cost of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xml:space="preserve">. 84,367.70, which means that the real cost </w:t>
      </w:r>
      <w:proofErr w:type="spellStart"/>
      <w:r w:rsidRPr="005C446D">
        <w:rPr>
          <w:rFonts w:ascii="Times New Roman" w:hAnsi="Times New Roman"/>
          <w:color w:val="000000" w:themeColor="text1"/>
          <w:sz w:val="24"/>
          <w:szCs w:val="24"/>
          <w:lang w:val="en"/>
        </w:rPr>
        <w:t>tarrif</w:t>
      </w:r>
      <w:proofErr w:type="spellEnd"/>
      <w:r w:rsidRPr="005C446D">
        <w:rPr>
          <w:rFonts w:ascii="Times New Roman" w:hAnsi="Times New Roman"/>
          <w:color w:val="000000" w:themeColor="text1"/>
          <w:sz w:val="24"/>
          <w:szCs w:val="24"/>
          <w:lang w:val="en"/>
        </w:rPr>
        <w:t xml:space="preserve"> is able to cover both direct and overhead costs at the hospital. In this study it was found that unit cost calculation was lower compared to INA CBG's tariff set by the governm</w:t>
      </w:r>
      <w:r w:rsidR="005F3299" w:rsidRPr="005C446D">
        <w:rPr>
          <w:rFonts w:ascii="Times New Roman" w:hAnsi="Times New Roman"/>
          <w:color w:val="000000" w:themeColor="text1"/>
          <w:sz w:val="24"/>
          <w:szCs w:val="24"/>
          <w:lang w:val="en"/>
        </w:rPr>
        <w:t>ent with cost difference of Rp.</w:t>
      </w:r>
      <w:r w:rsidRPr="005C446D">
        <w:rPr>
          <w:rFonts w:ascii="Times New Roman" w:hAnsi="Times New Roman"/>
          <w:color w:val="000000" w:themeColor="text1"/>
          <w:sz w:val="24"/>
          <w:szCs w:val="24"/>
          <w:lang w:val="en"/>
        </w:rPr>
        <w:t xml:space="preserve">146,810.70, while the real cost tariff applied by the hospital is found to be lower cost with INA CBG's tariff with a cost difference of </w:t>
      </w:r>
      <w:proofErr w:type="spellStart"/>
      <w:r w:rsidRPr="005C446D">
        <w:rPr>
          <w:rFonts w:ascii="Times New Roman" w:hAnsi="Times New Roman"/>
          <w:color w:val="000000" w:themeColor="text1"/>
          <w:sz w:val="24"/>
          <w:szCs w:val="24"/>
          <w:lang w:val="en"/>
        </w:rPr>
        <w:t>Rp</w:t>
      </w:r>
      <w:proofErr w:type="spellEnd"/>
      <w:r w:rsidRPr="005C446D">
        <w:rPr>
          <w:rFonts w:ascii="Times New Roman" w:hAnsi="Times New Roman"/>
          <w:color w:val="000000" w:themeColor="text1"/>
          <w:sz w:val="24"/>
          <w:szCs w:val="24"/>
          <w:lang w:val="en"/>
        </w:rPr>
        <w:t>. 62.443.00. In the calculation of unit cost is obtained the total cost is lower than the real cost and INA CBG's</w:t>
      </w:r>
      <w:r w:rsidR="005F3299" w:rsidRPr="005C446D">
        <w:rPr>
          <w:rFonts w:ascii="Times New Roman" w:hAnsi="Times New Roman"/>
          <w:color w:val="000000" w:themeColor="text1"/>
          <w:sz w:val="24"/>
          <w:szCs w:val="24"/>
          <w:lang w:val="en"/>
        </w:rPr>
        <w:t xml:space="preserve"> tariff</w:t>
      </w:r>
      <w:r w:rsidRPr="005C446D">
        <w:rPr>
          <w:rFonts w:ascii="Times New Roman" w:hAnsi="Times New Roman"/>
          <w:color w:val="000000" w:themeColor="text1"/>
          <w:sz w:val="24"/>
          <w:szCs w:val="24"/>
          <w:lang w:val="en"/>
        </w:rPr>
        <w:t xml:space="preserve"> set by the government. Therefore, according to researcher, the hospital might need to evaluate the </w:t>
      </w:r>
      <w:r w:rsidRPr="005C446D">
        <w:rPr>
          <w:rFonts w:ascii="Times New Roman" w:hAnsi="Times New Roman"/>
          <w:color w:val="000000" w:themeColor="text1"/>
          <w:sz w:val="24"/>
          <w:szCs w:val="24"/>
          <w:lang w:val="en"/>
        </w:rPr>
        <w:lastRenderedPageBreak/>
        <w:t>existing tariff so that the difference or cost difference between unit cost, real cos, and INA CBG's tariff is not too big so it can reduce the loss rate of the hospital.</w:t>
      </w:r>
    </w:p>
    <w:p w14:paraId="0F210A33" w14:textId="77777777" w:rsidR="00E278AB" w:rsidRPr="005C446D" w:rsidRDefault="00E278AB" w:rsidP="00744CE5">
      <w:pPr>
        <w:pStyle w:val="ListParagraph"/>
        <w:spacing w:after="0" w:line="240" w:lineRule="auto"/>
        <w:ind w:left="360" w:firstLine="701"/>
        <w:jc w:val="both"/>
        <w:rPr>
          <w:rFonts w:ascii="Times New Roman" w:hAnsi="Times New Roman"/>
          <w:color w:val="000000" w:themeColor="text1"/>
          <w:sz w:val="24"/>
          <w:szCs w:val="24"/>
          <w:lang w:val="en"/>
        </w:rPr>
      </w:pPr>
    </w:p>
    <w:p w14:paraId="250C2A62" w14:textId="4C3B81E0" w:rsidR="00744CE5" w:rsidRPr="005C446D" w:rsidRDefault="00744CE5" w:rsidP="00744CE5">
      <w:pPr>
        <w:pStyle w:val="ListParagraph"/>
        <w:spacing w:after="0" w:line="240" w:lineRule="auto"/>
        <w:ind w:left="360" w:firstLine="701"/>
        <w:jc w:val="both"/>
        <w:rPr>
          <w:rFonts w:ascii="Times New Roman" w:hAnsi="Times New Roman"/>
          <w:color w:val="000000" w:themeColor="text1"/>
          <w:sz w:val="24"/>
          <w:szCs w:val="24"/>
          <w:vertAlign w:val="superscript"/>
        </w:rPr>
      </w:pPr>
      <w:r w:rsidRPr="005C446D">
        <w:rPr>
          <w:rFonts w:ascii="Times New Roman" w:hAnsi="Times New Roman"/>
          <w:color w:val="000000" w:themeColor="text1"/>
          <w:sz w:val="24"/>
          <w:szCs w:val="24"/>
          <w:lang w:val="en"/>
        </w:rPr>
        <w:t xml:space="preserve">The difference between unit cost calculated by </w:t>
      </w:r>
      <w:r w:rsidR="005F3299" w:rsidRPr="005C446D">
        <w:rPr>
          <w:rFonts w:ascii="Times New Roman" w:hAnsi="Times New Roman"/>
          <w:color w:val="000000" w:themeColor="text1"/>
          <w:sz w:val="24"/>
          <w:szCs w:val="24"/>
          <w:lang w:val="en"/>
        </w:rPr>
        <w:t xml:space="preserve">Activity Based Costing method </w:t>
      </w:r>
      <w:r w:rsidRPr="005C446D">
        <w:rPr>
          <w:rFonts w:ascii="Times New Roman" w:hAnsi="Times New Roman"/>
          <w:color w:val="000000" w:themeColor="text1"/>
          <w:sz w:val="24"/>
          <w:szCs w:val="24"/>
          <w:lang w:val="en"/>
        </w:rPr>
        <w:t xml:space="preserve">because the calculation method used is different. Unit cost calculated in this study was calculated based on Clinical Pathway CKR diagnosis that was applied in RSUD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According to </w:t>
      </w:r>
      <w:proofErr w:type="spellStart"/>
      <w:r w:rsidRPr="005C446D">
        <w:rPr>
          <w:rFonts w:ascii="Times New Roman" w:hAnsi="Times New Roman"/>
          <w:color w:val="000000" w:themeColor="text1"/>
          <w:sz w:val="24"/>
          <w:szCs w:val="24"/>
          <w:lang w:val="en"/>
        </w:rPr>
        <w:t>Rahmanto</w:t>
      </w:r>
      <w:proofErr w:type="spellEnd"/>
      <w:r w:rsidRPr="005C446D">
        <w:rPr>
          <w:rFonts w:ascii="Times New Roman" w:hAnsi="Times New Roman"/>
          <w:color w:val="000000" w:themeColor="text1"/>
          <w:sz w:val="24"/>
          <w:szCs w:val="24"/>
          <w:lang w:val="en"/>
        </w:rPr>
        <w:t xml:space="preserve"> (2009) Clinical Pathway (a medic service flow) is an integrated service concept that summarizes every step given to patients based on medical service standards, nursing care standards, and other standards of health-based, evidence-based service with measurable results and within a certain time during the hospital. The advantages and benefits of Clinical Pathway can support the introduction of Evidence Based Medicine, improve communication among teamwork disciplines, provide clear and good standards for service activities, help reduce variation in patient care (through standards), improve resource management processes. The theory is in accordance with the results of research conducted by Huang et al (2015) shows that the benefits of clinical pathway implementation that can reduce the average length of hospitalization, reduce inpatient expenses, improve patient satisfaction, and improve the quality of hospital management resources.</w:t>
      </w:r>
      <w:r w:rsidR="00A65D13" w:rsidRPr="005C446D">
        <w:rPr>
          <w:rFonts w:ascii="Times New Roman" w:hAnsi="Times New Roman"/>
          <w:color w:val="000000" w:themeColor="text1"/>
          <w:sz w:val="24"/>
          <w:szCs w:val="24"/>
          <w:vertAlign w:val="superscript"/>
        </w:rPr>
        <w:t xml:space="preserve"> 18</w:t>
      </w:r>
    </w:p>
    <w:p w14:paraId="5EC2ADC4" w14:textId="686A04E6" w:rsidR="00744CE5" w:rsidRPr="005C446D" w:rsidRDefault="00744CE5"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In this study the results of unit cost calculation by ABC method is expected to provide information about the calculation of more accurate cost, so it can be used by the hospital management in determining the tariff.  ABC system constitutes the cause-and-effect relationship between activities and cost objects and provides information on the actual unit cost of providing clinical services in hospital</w:t>
      </w:r>
      <w:r w:rsidRPr="005C446D">
        <w:rPr>
          <w:rFonts w:ascii="Times New Roman" w:hAnsi="Times New Roman"/>
          <w:color w:val="000000" w:themeColor="text1"/>
          <w:sz w:val="24"/>
          <w:szCs w:val="24"/>
        </w:rPr>
        <w:t>.</w:t>
      </w:r>
      <w:r w:rsidRPr="005C446D">
        <w:rPr>
          <w:rFonts w:ascii="Times New Roman" w:hAnsi="Times New Roman"/>
          <w:color w:val="000000" w:themeColor="text1"/>
          <w:sz w:val="24"/>
          <w:szCs w:val="24"/>
          <w:vertAlign w:val="superscript"/>
        </w:rPr>
        <w:t>1</w:t>
      </w:r>
      <w:r w:rsidR="00A65D13" w:rsidRPr="005C446D">
        <w:rPr>
          <w:rFonts w:ascii="Times New Roman" w:hAnsi="Times New Roman"/>
          <w:color w:val="000000" w:themeColor="text1"/>
          <w:sz w:val="24"/>
          <w:szCs w:val="24"/>
          <w:vertAlign w:val="superscript"/>
        </w:rPr>
        <w:t>9</w:t>
      </w:r>
      <w:r w:rsidRPr="005C446D">
        <w:rPr>
          <w:rFonts w:ascii="Times New Roman" w:hAnsi="Times New Roman"/>
          <w:color w:val="000000" w:themeColor="text1"/>
          <w:sz w:val="24"/>
          <w:szCs w:val="24"/>
        </w:rPr>
        <w:t xml:space="preserve"> </w:t>
      </w:r>
      <w:r w:rsidRPr="005C446D">
        <w:rPr>
          <w:rFonts w:ascii="Times New Roman" w:hAnsi="Times New Roman"/>
          <w:color w:val="000000" w:themeColor="text1"/>
          <w:sz w:val="24"/>
          <w:szCs w:val="24"/>
          <w:lang w:val="en"/>
        </w:rPr>
        <w:t xml:space="preserve"> </w:t>
      </w:r>
      <w:r w:rsidR="00D42DA2" w:rsidRPr="005C446D">
        <w:rPr>
          <w:rFonts w:ascii="Times New Roman" w:hAnsi="Times New Roman"/>
          <w:color w:val="000000" w:themeColor="text1"/>
          <w:sz w:val="24"/>
          <w:szCs w:val="24"/>
          <w:lang w:val="en"/>
        </w:rPr>
        <w:t xml:space="preserve">Based on observations from researcher on the use of Clinical pathway for mild Head Injury in </w:t>
      </w:r>
      <w:proofErr w:type="spellStart"/>
      <w:r w:rsidR="00D42DA2" w:rsidRPr="005C446D">
        <w:rPr>
          <w:rFonts w:ascii="Times New Roman" w:hAnsi="Times New Roman"/>
          <w:color w:val="000000" w:themeColor="text1"/>
          <w:sz w:val="24"/>
          <w:szCs w:val="24"/>
          <w:lang w:val="en"/>
        </w:rPr>
        <w:t>Panembahan</w:t>
      </w:r>
      <w:proofErr w:type="spellEnd"/>
      <w:r w:rsidR="00D42DA2" w:rsidRPr="005C446D">
        <w:rPr>
          <w:rFonts w:ascii="Times New Roman" w:hAnsi="Times New Roman"/>
          <w:color w:val="000000" w:themeColor="text1"/>
          <w:sz w:val="24"/>
          <w:szCs w:val="24"/>
          <w:lang w:val="en"/>
        </w:rPr>
        <w:t xml:space="preserve"> </w:t>
      </w:r>
      <w:proofErr w:type="spellStart"/>
      <w:r w:rsidR="00D42DA2" w:rsidRPr="005C446D">
        <w:rPr>
          <w:rFonts w:ascii="Times New Roman" w:hAnsi="Times New Roman"/>
          <w:color w:val="000000" w:themeColor="text1"/>
          <w:sz w:val="24"/>
          <w:szCs w:val="24"/>
          <w:lang w:val="en"/>
        </w:rPr>
        <w:t>Senopati</w:t>
      </w:r>
      <w:proofErr w:type="spellEnd"/>
      <w:r w:rsidR="00D42DA2" w:rsidRPr="005C446D">
        <w:rPr>
          <w:rFonts w:ascii="Times New Roman" w:hAnsi="Times New Roman"/>
          <w:color w:val="000000" w:themeColor="text1"/>
          <w:sz w:val="24"/>
          <w:szCs w:val="24"/>
          <w:lang w:val="en"/>
        </w:rPr>
        <w:t xml:space="preserve"> </w:t>
      </w:r>
      <w:proofErr w:type="spellStart"/>
      <w:r w:rsidR="00D42DA2" w:rsidRPr="005C446D">
        <w:rPr>
          <w:rFonts w:ascii="Times New Roman" w:hAnsi="Times New Roman"/>
          <w:color w:val="000000" w:themeColor="text1"/>
          <w:sz w:val="24"/>
          <w:szCs w:val="24"/>
          <w:lang w:val="en"/>
        </w:rPr>
        <w:t>Bantul</w:t>
      </w:r>
      <w:proofErr w:type="spellEnd"/>
      <w:r w:rsidR="00D42DA2" w:rsidRPr="005C446D">
        <w:rPr>
          <w:rFonts w:ascii="Times New Roman" w:hAnsi="Times New Roman"/>
          <w:color w:val="000000" w:themeColor="text1"/>
          <w:sz w:val="24"/>
          <w:szCs w:val="24"/>
          <w:lang w:val="en"/>
        </w:rPr>
        <w:t xml:space="preserve"> Hospital</w:t>
      </w:r>
      <w:r w:rsidRPr="005C446D">
        <w:rPr>
          <w:rFonts w:ascii="Times New Roman" w:hAnsi="Times New Roman"/>
          <w:color w:val="000000" w:themeColor="text1"/>
          <w:sz w:val="24"/>
          <w:szCs w:val="24"/>
          <w:lang w:val="en"/>
        </w:rPr>
        <w:t xml:space="preserve">, the use of clinical pathway </w:t>
      </w:r>
      <w:proofErr w:type="spellStart"/>
      <w:r w:rsidRPr="005C446D">
        <w:rPr>
          <w:rFonts w:ascii="Times New Roman" w:hAnsi="Times New Roman"/>
          <w:color w:val="000000" w:themeColor="text1"/>
          <w:sz w:val="24"/>
          <w:szCs w:val="24"/>
          <w:lang w:val="en"/>
        </w:rPr>
        <w:t>can not</w:t>
      </w:r>
      <w:proofErr w:type="spellEnd"/>
      <w:r w:rsidRPr="005C446D">
        <w:rPr>
          <w:rFonts w:ascii="Times New Roman" w:hAnsi="Times New Roman"/>
          <w:color w:val="000000" w:themeColor="text1"/>
          <w:sz w:val="24"/>
          <w:szCs w:val="24"/>
          <w:lang w:val="en"/>
        </w:rPr>
        <w:t xml:space="preserve"> be used in CKR patients with other comparisons such as fracture because it will affect the total cost and the determination of the CKR diagnosis tariff if accompanied by compilation or not.</w:t>
      </w:r>
    </w:p>
    <w:p w14:paraId="6D9132EF" w14:textId="78103385" w:rsidR="00744CE5" w:rsidRDefault="00085D0B" w:rsidP="00744CE5">
      <w:pPr>
        <w:pStyle w:val="ListParagraph"/>
        <w:spacing w:after="0" w:line="240" w:lineRule="auto"/>
        <w:ind w:left="360" w:firstLine="701"/>
        <w:jc w:val="both"/>
        <w:rPr>
          <w:rFonts w:ascii="Times New Roman" w:hAnsi="Times New Roman"/>
          <w:color w:val="000000" w:themeColor="text1"/>
          <w:sz w:val="24"/>
          <w:szCs w:val="24"/>
          <w:lang w:val="en"/>
        </w:rPr>
      </w:pPr>
      <w:r w:rsidRPr="005C446D">
        <w:rPr>
          <w:rFonts w:ascii="Times New Roman" w:hAnsi="Times New Roman"/>
          <w:color w:val="000000" w:themeColor="text1"/>
          <w:sz w:val="24"/>
          <w:szCs w:val="24"/>
          <w:lang w:val="en"/>
        </w:rPr>
        <w:t xml:space="preserve">The medic services in </w:t>
      </w:r>
      <w:proofErr w:type="spellStart"/>
      <w:r w:rsidRPr="005C446D">
        <w:rPr>
          <w:rFonts w:ascii="Times New Roman" w:hAnsi="Times New Roman"/>
          <w:color w:val="000000" w:themeColor="text1"/>
          <w:sz w:val="24"/>
          <w:szCs w:val="24"/>
          <w:lang w:val="en"/>
        </w:rPr>
        <w:t>Panembahan</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Senopati</w:t>
      </w:r>
      <w:proofErr w:type="spellEnd"/>
      <w:r w:rsidRPr="005C446D">
        <w:rPr>
          <w:rFonts w:ascii="Times New Roman" w:hAnsi="Times New Roman"/>
          <w:color w:val="000000" w:themeColor="text1"/>
          <w:sz w:val="24"/>
          <w:szCs w:val="24"/>
          <w:lang w:val="en"/>
        </w:rPr>
        <w:t xml:space="preserve"> </w:t>
      </w:r>
      <w:proofErr w:type="spellStart"/>
      <w:r w:rsidRPr="005C446D">
        <w:rPr>
          <w:rFonts w:ascii="Times New Roman" w:hAnsi="Times New Roman"/>
          <w:color w:val="000000" w:themeColor="text1"/>
          <w:sz w:val="24"/>
          <w:szCs w:val="24"/>
          <w:lang w:val="en"/>
        </w:rPr>
        <w:t>Bantul</w:t>
      </w:r>
      <w:proofErr w:type="spellEnd"/>
      <w:r w:rsidRPr="005C446D">
        <w:rPr>
          <w:rFonts w:ascii="Times New Roman" w:hAnsi="Times New Roman"/>
          <w:color w:val="000000" w:themeColor="text1"/>
          <w:sz w:val="24"/>
          <w:szCs w:val="24"/>
          <w:lang w:val="en"/>
        </w:rPr>
        <w:t xml:space="preserve"> Hospital are Deep Disease, Child Health, Surgery, Obstetrics and Gynecology, Anesthesiology, Radiology, Rehabilitation Medic, Pathology Clinic, Eyes, skin, THT, Nerve, Heart, Lung, </w:t>
      </w:r>
      <w:proofErr w:type="spellStart"/>
      <w:r w:rsidRPr="005C446D">
        <w:rPr>
          <w:rFonts w:ascii="Times New Roman" w:hAnsi="Times New Roman"/>
          <w:color w:val="000000" w:themeColor="text1"/>
          <w:sz w:val="24"/>
          <w:szCs w:val="24"/>
          <w:lang w:val="en"/>
        </w:rPr>
        <w:t>psikiatri</w:t>
      </w:r>
      <w:proofErr w:type="spellEnd"/>
      <w:r w:rsidRPr="005C446D">
        <w:rPr>
          <w:rFonts w:ascii="Times New Roman" w:hAnsi="Times New Roman"/>
          <w:color w:val="000000" w:themeColor="text1"/>
          <w:sz w:val="24"/>
          <w:szCs w:val="24"/>
          <w:lang w:val="en"/>
        </w:rPr>
        <w:t xml:space="preserve"> and Orthopedic Medicine</w:t>
      </w:r>
      <w:r w:rsidR="00744CE5" w:rsidRPr="005C446D">
        <w:rPr>
          <w:rFonts w:ascii="Times New Roman" w:hAnsi="Times New Roman"/>
          <w:color w:val="000000" w:themeColor="text1"/>
          <w:sz w:val="24"/>
          <w:szCs w:val="24"/>
          <w:lang w:val="en"/>
        </w:rPr>
        <w:t xml:space="preserve">. This is in accordance with Minister of Health Decree No. 340 / </w:t>
      </w:r>
      <w:proofErr w:type="spellStart"/>
      <w:r w:rsidR="00744CE5" w:rsidRPr="005C446D">
        <w:rPr>
          <w:rFonts w:ascii="Times New Roman" w:hAnsi="Times New Roman"/>
          <w:color w:val="000000" w:themeColor="text1"/>
          <w:sz w:val="24"/>
          <w:szCs w:val="24"/>
          <w:lang w:val="en"/>
        </w:rPr>
        <w:t>Menkes</w:t>
      </w:r>
      <w:proofErr w:type="spellEnd"/>
      <w:r w:rsidR="00744CE5" w:rsidRPr="005C446D">
        <w:rPr>
          <w:rFonts w:ascii="Times New Roman" w:hAnsi="Times New Roman"/>
          <w:color w:val="000000" w:themeColor="text1"/>
          <w:sz w:val="24"/>
          <w:szCs w:val="24"/>
          <w:lang w:val="en"/>
        </w:rPr>
        <w:t xml:space="preserve"> / PER / III / 2010 on classification of Hospital Article 10 stating that Class B Hospital must have facilities and medic service capability of at least 4 basic medical services (Internal Medicine, Obstetrics and Gynecology), 4 Specialist Support Services (A</w:t>
      </w:r>
      <w:r w:rsidRPr="005C446D">
        <w:rPr>
          <w:rFonts w:ascii="Times New Roman" w:hAnsi="Times New Roman"/>
          <w:color w:val="000000" w:themeColor="text1"/>
          <w:sz w:val="24"/>
          <w:szCs w:val="24"/>
          <w:lang w:val="en"/>
        </w:rPr>
        <w:t xml:space="preserve">nesthesiology, Radiology, </w:t>
      </w:r>
      <w:r w:rsidR="00744CE5" w:rsidRPr="005C446D">
        <w:rPr>
          <w:rFonts w:ascii="Times New Roman" w:hAnsi="Times New Roman"/>
          <w:color w:val="000000" w:themeColor="text1"/>
          <w:sz w:val="24"/>
          <w:szCs w:val="24"/>
          <w:lang w:val="en"/>
        </w:rPr>
        <w:t>Rehabilitation</w:t>
      </w:r>
      <w:r w:rsidRPr="005C446D">
        <w:rPr>
          <w:rFonts w:ascii="Times New Roman" w:hAnsi="Times New Roman"/>
          <w:color w:val="000000" w:themeColor="text1"/>
          <w:sz w:val="24"/>
          <w:szCs w:val="24"/>
          <w:lang w:val="en"/>
        </w:rPr>
        <w:t xml:space="preserve"> Medic</w:t>
      </w:r>
      <w:r w:rsidR="00744CE5" w:rsidRPr="005C446D">
        <w:rPr>
          <w:rFonts w:ascii="Times New Roman" w:hAnsi="Times New Roman"/>
          <w:color w:val="000000" w:themeColor="text1"/>
          <w:sz w:val="24"/>
          <w:szCs w:val="24"/>
          <w:lang w:val="en"/>
        </w:rPr>
        <w:t xml:space="preserve"> and Pathology </w:t>
      </w:r>
      <w:proofErr w:type="spellStart"/>
      <w:r w:rsidR="00744CE5" w:rsidRPr="005C446D">
        <w:rPr>
          <w:rFonts w:ascii="Times New Roman" w:hAnsi="Times New Roman"/>
          <w:color w:val="000000" w:themeColor="text1"/>
          <w:sz w:val="24"/>
          <w:szCs w:val="24"/>
          <w:lang w:val="en"/>
        </w:rPr>
        <w:t>Klnik</w:t>
      </w:r>
      <w:proofErr w:type="spellEnd"/>
      <w:r w:rsidR="00744CE5" w:rsidRPr="005C446D">
        <w:rPr>
          <w:rFonts w:ascii="Times New Roman" w:hAnsi="Times New Roman"/>
          <w:color w:val="000000" w:themeColor="text1"/>
          <w:sz w:val="24"/>
          <w:szCs w:val="24"/>
          <w:lang w:val="en"/>
        </w:rPr>
        <w:t xml:space="preserve">), and other specialist medical services at least 8 of 13 services (Eyes, </w:t>
      </w:r>
      <w:r w:rsidRPr="005C446D">
        <w:rPr>
          <w:rFonts w:ascii="Times New Roman" w:hAnsi="Times New Roman"/>
          <w:color w:val="000000" w:themeColor="text1"/>
          <w:sz w:val="24"/>
          <w:szCs w:val="24"/>
          <w:lang w:val="en"/>
        </w:rPr>
        <w:t>THT, Nerve, Heart</w:t>
      </w:r>
      <w:r w:rsidR="00744CE5" w:rsidRPr="005C446D">
        <w:rPr>
          <w:rFonts w:ascii="Times New Roman" w:hAnsi="Times New Roman"/>
          <w:color w:val="000000" w:themeColor="text1"/>
          <w:sz w:val="24"/>
          <w:szCs w:val="24"/>
          <w:lang w:val="en"/>
        </w:rPr>
        <w:t xml:space="preserve">, Skin, Lung, Orthopedics, Urology, Neurosurgery, Plastic Surgery and Forensic Medicine). For specialist Surgery at RSUD </w:t>
      </w:r>
      <w:proofErr w:type="spellStart"/>
      <w:r w:rsidR="00744CE5" w:rsidRPr="005C446D">
        <w:rPr>
          <w:rFonts w:ascii="Times New Roman" w:hAnsi="Times New Roman"/>
          <w:color w:val="000000" w:themeColor="text1"/>
          <w:sz w:val="24"/>
          <w:szCs w:val="24"/>
          <w:lang w:val="en"/>
        </w:rPr>
        <w:t>Panembahan</w:t>
      </w:r>
      <w:proofErr w:type="spellEnd"/>
      <w:r w:rsidR="00744CE5" w:rsidRPr="005C446D">
        <w:rPr>
          <w:rFonts w:ascii="Times New Roman" w:hAnsi="Times New Roman"/>
          <w:color w:val="000000" w:themeColor="text1"/>
          <w:sz w:val="24"/>
          <w:szCs w:val="24"/>
          <w:lang w:val="en"/>
        </w:rPr>
        <w:t xml:space="preserve"> </w:t>
      </w:r>
      <w:proofErr w:type="spellStart"/>
      <w:r w:rsidR="00744CE5" w:rsidRPr="005C446D">
        <w:rPr>
          <w:rFonts w:ascii="Times New Roman" w:hAnsi="Times New Roman"/>
          <w:color w:val="000000" w:themeColor="text1"/>
          <w:sz w:val="24"/>
          <w:szCs w:val="24"/>
          <w:lang w:val="en"/>
        </w:rPr>
        <w:t>Senopati</w:t>
      </w:r>
      <w:proofErr w:type="spellEnd"/>
      <w:r w:rsidR="00744CE5" w:rsidRPr="005C446D">
        <w:rPr>
          <w:rFonts w:ascii="Times New Roman" w:hAnsi="Times New Roman"/>
          <w:color w:val="000000" w:themeColor="text1"/>
          <w:sz w:val="24"/>
          <w:szCs w:val="24"/>
          <w:lang w:val="en"/>
        </w:rPr>
        <w:t xml:space="preserve"> </w:t>
      </w:r>
      <w:proofErr w:type="spellStart"/>
      <w:r w:rsidR="00744CE5" w:rsidRPr="005C446D">
        <w:rPr>
          <w:rFonts w:ascii="Times New Roman" w:hAnsi="Times New Roman"/>
          <w:color w:val="000000" w:themeColor="text1"/>
          <w:sz w:val="24"/>
          <w:szCs w:val="24"/>
          <w:lang w:val="en"/>
        </w:rPr>
        <w:t>Bantul</w:t>
      </w:r>
      <w:proofErr w:type="spellEnd"/>
      <w:r w:rsidR="00744CE5" w:rsidRPr="005C446D">
        <w:rPr>
          <w:rFonts w:ascii="Times New Roman" w:hAnsi="Times New Roman"/>
          <w:color w:val="000000" w:themeColor="text1"/>
          <w:sz w:val="24"/>
          <w:szCs w:val="24"/>
          <w:lang w:val="en"/>
        </w:rPr>
        <w:t xml:space="preserve"> only have a specialist General Surgery as much as 3 people. Based on an interview with one of the surgeons that for one of the CKR's diagnosis is to use GCS (Glasgow Coma Scale). For care CKR actually must be handled by a neurosurgeon, therefore CKR patient care should always be observation. If the patient is experiencing a deterioration or leads to moderate head injury (CKS) or severe head injury (CKB) then the patient should be immediately referred to a hospital that has adequate facilities, one of which is a hospital that has a specialist neurosurgeon. The absence of a neurosurgeon in the hospital will have an impact on the quality of care provided to the patient. In the future the hospital might need to provide a neurosurgeon doctor from the high incidence of CKR in </w:t>
      </w:r>
      <w:proofErr w:type="spellStart"/>
      <w:r w:rsidR="00744CE5" w:rsidRPr="005C446D">
        <w:rPr>
          <w:rFonts w:ascii="Times New Roman" w:hAnsi="Times New Roman"/>
          <w:color w:val="000000" w:themeColor="text1"/>
          <w:sz w:val="24"/>
          <w:szCs w:val="24"/>
          <w:lang w:val="en"/>
        </w:rPr>
        <w:t>Panembahan</w:t>
      </w:r>
      <w:proofErr w:type="spellEnd"/>
      <w:r w:rsidR="00744CE5" w:rsidRPr="005C446D">
        <w:rPr>
          <w:rFonts w:ascii="Times New Roman" w:hAnsi="Times New Roman"/>
          <w:color w:val="000000" w:themeColor="text1"/>
          <w:sz w:val="24"/>
          <w:szCs w:val="24"/>
          <w:lang w:val="en"/>
        </w:rPr>
        <w:t xml:space="preserve"> </w:t>
      </w:r>
      <w:proofErr w:type="spellStart"/>
      <w:r w:rsidR="00744CE5" w:rsidRPr="005C446D">
        <w:rPr>
          <w:rFonts w:ascii="Times New Roman" w:hAnsi="Times New Roman"/>
          <w:color w:val="000000" w:themeColor="text1"/>
          <w:sz w:val="24"/>
          <w:szCs w:val="24"/>
          <w:lang w:val="en"/>
        </w:rPr>
        <w:t>Senopati</w:t>
      </w:r>
      <w:proofErr w:type="spellEnd"/>
      <w:r w:rsidR="00744CE5" w:rsidRPr="005C446D">
        <w:rPr>
          <w:rFonts w:ascii="Times New Roman" w:hAnsi="Times New Roman"/>
          <w:color w:val="000000" w:themeColor="text1"/>
          <w:sz w:val="24"/>
          <w:szCs w:val="24"/>
          <w:lang w:val="en"/>
        </w:rPr>
        <w:t xml:space="preserve"> </w:t>
      </w:r>
      <w:proofErr w:type="spellStart"/>
      <w:r w:rsidR="00744CE5" w:rsidRPr="005C446D">
        <w:rPr>
          <w:rFonts w:ascii="Times New Roman" w:hAnsi="Times New Roman"/>
          <w:color w:val="000000" w:themeColor="text1"/>
          <w:sz w:val="24"/>
          <w:szCs w:val="24"/>
          <w:lang w:val="en"/>
        </w:rPr>
        <w:t>Bantul</w:t>
      </w:r>
      <w:proofErr w:type="spellEnd"/>
      <w:r w:rsidR="00744CE5" w:rsidRPr="005C446D">
        <w:rPr>
          <w:rFonts w:ascii="Times New Roman" w:hAnsi="Times New Roman"/>
          <w:color w:val="000000" w:themeColor="text1"/>
          <w:sz w:val="24"/>
          <w:szCs w:val="24"/>
          <w:lang w:val="en"/>
        </w:rPr>
        <w:t xml:space="preserve"> Hospital in 2016 which was 119 patients, so that the future of patient care can be more comprehensive.</w:t>
      </w:r>
    </w:p>
    <w:p w14:paraId="20A1C88C" w14:textId="77777777" w:rsidR="002F0543" w:rsidRDefault="002F0543" w:rsidP="00744CE5">
      <w:pPr>
        <w:pStyle w:val="ListParagraph"/>
        <w:spacing w:after="0" w:line="240" w:lineRule="auto"/>
        <w:ind w:left="360" w:firstLine="701"/>
        <w:jc w:val="both"/>
        <w:rPr>
          <w:rFonts w:ascii="Times New Roman" w:hAnsi="Times New Roman"/>
          <w:color w:val="000000" w:themeColor="text1"/>
          <w:sz w:val="24"/>
          <w:szCs w:val="24"/>
          <w:lang w:val="en"/>
        </w:rPr>
      </w:pPr>
    </w:p>
    <w:p w14:paraId="765BE8E4" w14:textId="77777777" w:rsidR="00744CE5" w:rsidRPr="00E3734B" w:rsidRDefault="00744CE5" w:rsidP="00E3734B">
      <w:pPr>
        <w:jc w:val="both"/>
        <w:rPr>
          <w:rFonts w:ascii="Times New Roman" w:hAnsi="Times New Roman"/>
          <w:color w:val="000000" w:themeColor="text1"/>
          <w:sz w:val="24"/>
          <w:szCs w:val="24"/>
          <w:lang w:val="en"/>
        </w:rPr>
      </w:pPr>
    </w:p>
    <w:p w14:paraId="3F026C96" w14:textId="77777777" w:rsidR="00744CE5" w:rsidRDefault="00744CE5" w:rsidP="00E3734B">
      <w:pPr>
        <w:jc w:val="center"/>
        <w:rPr>
          <w:rFonts w:ascii="Times New Roman" w:eastAsia="Cambria" w:hAnsi="Times New Roman" w:cs="Times New Roman"/>
          <w:b/>
          <w:color w:val="000000" w:themeColor="text1"/>
          <w:sz w:val="24"/>
        </w:rPr>
      </w:pPr>
      <w:r w:rsidRPr="005C446D">
        <w:rPr>
          <w:rFonts w:ascii="Times New Roman" w:eastAsia="Cambria" w:hAnsi="Times New Roman" w:cs="Times New Roman"/>
          <w:b/>
          <w:color w:val="000000" w:themeColor="text1"/>
          <w:sz w:val="24"/>
        </w:rPr>
        <w:lastRenderedPageBreak/>
        <w:t>CONCLUSION</w:t>
      </w:r>
    </w:p>
    <w:p w14:paraId="0A2D1B57" w14:textId="77777777" w:rsidR="00E3734B" w:rsidRPr="005C446D" w:rsidRDefault="00E3734B" w:rsidP="00E3734B">
      <w:pPr>
        <w:jc w:val="center"/>
        <w:rPr>
          <w:rFonts w:ascii="Times New Roman" w:eastAsia="Times New Roman" w:hAnsi="Times New Roman" w:cs="Times New Roman"/>
          <w:color w:val="000000" w:themeColor="text1"/>
        </w:rPr>
      </w:pPr>
    </w:p>
    <w:p w14:paraId="5B0C96C6" w14:textId="1692C1BC" w:rsidR="00744CE5" w:rsidRPr="005C446D" w:rsidRDefault="00744CE5" w:rsidP="00744CE5">
      <w:pPr>
        <w:pStyle w:val="Default"/>
        <w:ind w:firstLine="426"/>
        <w:jc w:val="both"/>
        <w:rPr>
          <w:rFonts w:ascii="Times New Roman" w:hAnsi="Times New Roman"/>
          <w:color w:val="000000" w:themeColor="text1"/>
        </w:rPr>
      </w:pPr>
      <w:r w:rsidRPr="005C446D">
        <w:rPr>
          <w:rFonts w:ascii="Times New Roman" w:hAnsi="Times New Roman"/>
          <w:color w:val="000000" w:themeColor="text1"/>
        </w:rPr>
        <w:t xml:space="preserve">Unit cost calculation on inpatients with diagnosis of </w:t>
      </w:r>
      <w:r w:rsidR="009E56DD" w:rsidRPr="005C446D">
        <w:rPr>
          <w:rFonts w:ascii="Times New Roman" w:hAnsi="Times New Roman"/>
          <w:color w:val="000000" w:themeColor="text1"/>
        </w:rPr>
        <w:t>Mild</w:t>
      </w:r>
      <w:r w:rsidRPr="005C446D">
        <w:rPr>
          <w:rFonts w:ascii="Times New Roman" w:hAnsi="Times New Roman"/>
          <w:color w:val="000000" w:themeColor="text1"/>
        </w:rPr>
        <w:t xml:space="preserve"> head injury with Activity Based Costing </w:t>
      </w:r>
      <w:r w:rsidR="008F72C6" w:rsidRPr="005C446D">
        <w:rPr>
          <w:rFonts w:ascii="Times New Roman" w:hAnsi="Times New Roman"/>
          <w:color w:val="000000" w:themeColor="text1"/>
        </w:rPr>
        <w:t xml:space="preserve">(ABC) </w:t>
      </w:r>
      <w:r w:rsidRPr="005C446D">
        <w:rPr>
          <w:rFonts w:ascii="Times New Roman" w:hAnsi="Times New Roman"/>
          <w:color w:val="000000" w:themeColor="text1"/>
        </w:rPr>
        <w:t xml:space="preserve">method at </w:t>
      </w:r>
      <w:proofErr w:type="spellStart"/>
      <w:r w:rsidRPr="005C446D">
        <w:rPr>
          <w:rFonts w:ascii="Times New Roman" w:hAnsi="Times New Roman"/>
          <w:color w:val="000000" w:themeColor="text1"/>
        </w:rPr>
        <w:t>Panembahan</w:t>
      </w:r>
      <w:proofErr w:type="spellEnd"/>
      <w:r w:rsidRPr="005C446D">
        <w:rPr>
          <w:rFonts w:ascii="Times New Roman" w:hAnsi="Times New Roman"/>
          <w:color w:val="000000" w:themeColor="text1"/>
        </w:rPr>
        <w:t xml:space="preserve"> </w:t>
      </w:r>
      <w:proofErr w:type="spellStart"/>
      <w:r w:rsidRPr="005C446D">
        <w:rPr>
          <w:rFonts w:ascii="Times New Roman" w:hAnsi="Times New Roman"/>
          <w:color w:val="000000" w:themeColor="text1"/>
        </w:rPr>
        <w:t>Senopati</w:t>
      </w:r>
      <w:proofErr w:type="spellEnd"/>
      <w:r w:rsidRPr="005C446D">
        <w:rPr>
          <w:rFonts w:ascii="Times New Roman" w:hAnsi="Times New Roman"/>
          <w:color w:val="000000" w:themeColor="text1"/>
        </w:rPr>
        <w:t xml:space="preserve"> </w:t>
      </w:r>
      <w:proofErr w:type="spellStart"/>
      <w:r w:rsidRPr="005C446D">
        <w:rPr>
          <w:rFonts w:ascii="Times New Roman" w:hAnsi="Times New Roman"/>
          <w:color w:val="000000" w:themeColor="text1"/>
        </w:rPr>
        <w:t>Ba</w:t>
      </w:r>
      <w:r w:rsidR="008F72C6" w:rsidRPr="005C446D">
        <w:rPr>
          <w:rFonts w:ascii="Times New Roman" w:hAnsi="Times New Roman"/>
          <w:color w:val="000000" w:themeColor="text1"/>
        </w:rPr>
        <w:t>ntul</w:t>
      </w:r>
      <w:proofErr w:type="spellEnd"/>
      <w:r w:rsidR="008F72C6" w:rsidRPr="005C446D">
        <w:rPr>
          <w:rFonts w:ascii="Times New Roman" w:hAnsi="Times New Roman"/>
          <w:color w:val="000000" w:themeColor="text1"/>
        </w:rPr>
        <w:t xml:space="preserve"> </w:t>
      </w:r>
      <w:r w:rsidR="00764BFC" w:rsidRPr="005C446D">
        <w:rPr>
          <w:rFonts w:ascii="Times New Roman" w:hAnsi="Times New Roman"/>
          <w:color w:val="000000" w:themeColor="text1"/>
        </w:rPr>
        <w:t xml:space="preserve">Hospital </w:t>
      </w:r>
      <w:r w:rsidR="008F72C6" w:rsidRPr="005C446D">
        <w:rPr>
          <w:rFonts w:ascii="Times New Roman" w:hAnsi="Times New Roman"/>
          <w:color w:val="000000" w:themeColor="text1"/>
        </w:rPr>
        <w:t xml:space="preserve">obtained total cost of </w:t>
      </w:r>
      <w:proofErr w:type="gramStart"/>
      <w:r w:rsidR="008F72C6" w:rsidRPr="005C446D">
        <w:rPr>
          <w:rFonts w:ascii="Times New Roman" w:hAnsi="Times New Roman"/>
          <w:color w:val="000000" w:themeColor="text1"/>
        </w:rPr>
        <w:t>Rp.</w:t>
      </w:r>
      <w:r w:rsidRPr="005C446D">
        <w:rPr>
          <w:rFonts w:ascii="Times New Roman" w:hAnsi="Times New Roman"/>
          <w:color w:val="000000" w:themeColor="text1"/>
        </w:rPr>
        <w:t>2,301,989.30</w:t>
      </w:r>
      <w:proofErr w:type="gramEnd"/>
      <w:r w:rsidRPr="005C446D">
        <w:rPr>
          <w:rFonts w:ascii="Times New Roman" w:hAnsi="Times New Roman"/>
          <w:color w:val="000000" w:themeColor="text1"/>
        </w:rPr>
        <w:t>. Unit cost calculation by A</w:t>
      </w:r>
      <w:r w:rsidR="00764BFC" w:rsidRPr="005C446D">
        <w:rPr>
          <w:rFonts w:ascii="Times New Roman" w:hAnsi="Times New Roman"/>
          <w:color w:val="000000" w:themeColor="text1"/>
        </w:rPr>
        <w:t xml:space="preserve">ctivity </w:t>
      </w:r>
      <w:r w:rsidRPr="005C446D">
        <w:rPr>
          <w:rFonts w:ascii="Times New Roman" w:hAnsi="Times New Roman"/>
          <w:color w:val="000000" w:themeColor="text1"/>
        </w:rPr>
        <w:t>B</w:t>
      </w:r>
      <w:r w:rsidR="00764BFC" w:rsidRPr="005C446D">
        <w:rPr>
          <w:rFonts w:ascii="Times New Roman" w:hAnsi="Times New Roman"/>
          <w:color w:val="000000" w:themeColor="text1"/>
        </w:rPr>
        <w:t xml:space="preserve">ased </w:t>
      </w:r>
      <w:r w:rsidRPr="005C446D">
        <w:rPr>
          <w:rFonts w:ascii="Times New Roman" w:hAnsi="Times New Roman"/>
          <w:color w:val="000000" w:themeColor="text1"/>
        </w:rPr>
        <w:t>C</w:t>
      </w:r>
      <w:r w:rsidR="00764BFC" w:rsidRPr="005C446D">
        <w:rPr>
          <w:rFonts w:ascii="Times New Roman" w:hAnsi="Times New Roman"/>
          <w:color w:val="000000" w:themeColor="text1"/>
        </w:rPr>
        <w:t>osting</w:t>
      </w:r>
      <w:r w:rsidRPr="005C446D">
        <w:rPr>
          <w:rFonts w:ascii="Times New Roman" w:hAnsi="Times New Roman"/>
          <w:color w:val="000000" w:themeColor="text1"/>
        </w:rPr>
        <w:t xml:space="preserve"> method got difference between unit cost with real cost according to policy applied in </w:t>
      </w:r>
      <w:proofErr w:type="spellStart"/>
      <w:r w:rsidRPr="005C446D">
        <w:rPr>
          <w:rFonts w:ascii="Times New Roman" w:hAnsi="Times New Roman"/>
          <w:color w:val="000000" w:themeColor="text1"/>
        </w:rPr>
        <w:t>Panembahan</w:t>
      </w:r>
      <w:proofErr w:type="spellEnd"/>
      <w:r w:rsidRPr="005C446D">
        <w:rPr>
          <w:rFonts w:ascii="Times New Roman" w:hAnsi="Times New Roman"/>
          <w:color w:val="000000" w:themeColor="text1"/>
        </w:rPr>
        <w:t xml:space="preserve"> </w:t>
      </w:r>
      <w:proofErr w:type="spellStart"/>
      <w:r w:rsidRPr="005C446D">
        <w:rPr>
          <w:rFonts w:ascii="Times New Roman" w:hAnsi="Times New Roman"/>
          <w:color w:val="000000" w:themeColor="text1"/>
        </w:rPr>
        <w:t>Senopati</w:t>
      </w:r>
      <w:proofErr w:type="spellEnd"/>
      <w:r w:rsidRPr="005C446D">
        <w:rPr>
          <w:rFonts w:ascii="Times New Roman" w:hAnsi="Times New Roman"/>
          <w:color w:val="000000" w:themeColor="text1"/>
        </w:rPr>
        <w:t xml:space="preserve"> </w:t>
      </w:r>
      <w:proofErr w:type="spellStart"/>
      <w:r w:rsidRPr="005C446D">
        <w:rPr>
          <w:rFonts w:ascii="Times New Roman" w:hAnsi="Times New Roman"/>
          <w:color w:val="000000" w:themeColor="text1"/>
        </w:rPr>
        <w:t>Bantul</w:t>
      </w:r>
      <w:proofErr w:type="spellEnd"/>
      <w:r w:rsidR="00764BFC" w:rsidRPr="005C446D">
        <w:rPr>
          <w:rFonts w:ascii="Times New Roman" w:hAnsi="Times New Roman"/>
          <w:color w:val="000000" w:themeColor="text1"/>
        </w:rPr>
        <w:t xml:space="preserve"> Hospital</w:t>
      </w:r>
      <w:r w:rsidRPr="005C446D">
        <w:rPr>
          <w:rFonts w:ascii="Times New Roman" w:hAnsi="Times New Roman"/>
          <w:color w:val="000000" w:themeColor="text1"/>
        </w:rPr>
        <w:t xml:space="preserve"> with cost difference equal to </w:t>
      </w:r>
      <w:proofErr w:type="spellStart"/>
      <w:r w:rsidRPr="005C446D">
        <w:rPr>
          <w:rFonts w:ascii="Times New Roman" w:hAnsi="Times New Roman"/>
          <w:color w:val="000000" w:themeColor="text1"/>
        </w:rPr>
        <w:t>Rp</w:t>
      </w:r>
      <w:proofErr w:type="spellEnd"/>
      <w:r w:rsidRPr="005C446D">
        <w:rPr>
          <w:rFonts w:ascii="Times New Roman" w:hAnsi="Times New Roman"/>
          <w:color w:val="000000" w:themeColor="text1"/>
        </w:rPr>
        <w:t>. 84.357,70.</w:t>
      </w:r>
    </w:p>
    <w:p w14:paraId="0D01136F" w14:textId="1194EB97" w:rsidR="00744CE5" w:rsidRPr="005C446D" w:rsidRDefault="00744CE5" w:rsidP="00744CE5">
      <w:pPr>
        <w:pStyle w:val="Default"/>
        <w:ind w:firstLine="426"/>
        <w:jc w:val="both"/>
        <w:rPr>
          <w:rFonts w:ascii="Times New Roman" w:hAnsi="Times New Roman"/>
          <w:color w:val="000000" w:themeColor="text1"/>
        </w:rPr>
      </w:pPr>
      <w:r w:rsidRPr="005C446D">
        <w:rPr>
          <w:rFonts w:ascii="Times New Roman" w:hAnsi="Times New Roman"/>
          <w:color w:val="000000" w:themeColor="text1"/>
        </w:rPr>
        <w:t>Calculation of unit cost with A</w:t>
      </w:r>
      <w:r w:rsidR="008F72C6" w:rsidRPr="005C446D">
        <w:rPr>
          <w:rFonts w:ascii="Times New Roman" w:hAnsi="Times New Roman"/>
          <w:color w:val="000000" w:themeColor="text1"/>
        </w:rPr>
        <w:t xml:space="preserve">ctivity </w:t>
      </w:r>
      <w:r w:rsidRPr="005C446D">
        <w:rPr>
          <w:rFonts w:ascii="Times New Roman" w:hAnsi="Times New Roman"/>
          <w:color w:val="000000" w:themeColor="text1"/>
        </w:rPr>
        <w:t>B</w:t>
      </w:r>
      <w:r w:rsidR="008F72C6" w:rsidRPr="005C446D">
        <w:rPr>
          <w:rFonts w:ascii="Times New Roman" w:hAnsi="Times New Roman"/>
          <w:color w:val="000000" w:themeColor="text1"/>
        </w:rPr>
        <w:t xml:space="preserve">ased </w:t>
      </w:r>
      <w:r w:rsidRPr="005C446D">
        <w:rPr>
          <w:rFonts w:ascii="Times New Roman" w:hAnsi="Times New Roman"/>
          <w:color w:val="000000" w:themeColor="text1"/>
        </w:rPr>
        <w:t>C</w:t>
      </w:r>
      <w:r w:rsidR="008F72C6" w:rsidRPr="005C446D">
        <w:rPr>
          <w:rFonts w:ascii="Times New Roman" w:hAnsi="Times New Roman"/>
          <w:color w:val="000000" w:themeColor="text1"/>
        </w:rPr>
        <w:t>osting</w:t>
      </w:r>
      <w:r w:rsidRPr="005C446D">
        <w:rPr>
          <w:rFonts w:ascii="Times New Roman" w:hAnsi="Times New Roman"/>
          <w:color w:val="000000" w:themeColor="text1"/>
        </w:rPr>
        <w:t xml:space="preserve"> method got difference b</w:t>
      </w:r>
      <w:r w:rsidR="00764BFC" w:rsidRPr="005C446D">
        <w:rPr>
          <w:rFonts w:ascii="Times New Roman" w:hAnsi="Times New Roman"/>
          <w:color w:val="000000" w:themeColor="text1"/>
        </w:rPr>
        <w:t xml:space="preserve">etween unit cost with </w:t>
      </w:r>
      <w:r w:rsidRPr="005C446D">
        <w:rPr>
          <w:rFonts w:ascii="Times New Roman" w:hAnsi="Times New Roman"/>
          <w:color w:val="000000" w:themeColor="text1"/>
        </w:rPr>
        <w:t>INA CBG's</w:t>
      </w:r>
      <w:r w:rsidR="00764BFC" w:rsidRPr="005C446D">
        <w:rPr>
          <w:rFonts w:ascii="Times New Roman" w:hAnsi="Times New Roman"/>
          <w:color w:val="000000" w:themeColor="text1"/>
        </w:rPr>
        <w:t xml:space="preserve"> tariff</w:t>
      </w:r>
      <w:r w:rsidRPr="005C446D">
        <w:rPr>
          <w:rFonts w:ascii="Times New Roman" w:hAnsi="Times New Roman"/>
          <w:color w:val="000000" w:themeColor="text1"/>
        </w:rPr>
        <w:t xml:space="preserve"> which determined by government wi</w:t>
      </w:r>
      <w:r w:rsidR="00764BFC" w:rsidRPr="005C446D">
        <w:rPr>
          <w:rFonts w:ascii="Times New Roman" w:hAnsi="Times New Roman"/>
          <w:color w:val="000000" w:themeColor="text1"/>
        </w:rPr>
        <w:t>th cost difference equal to Rp.</w:t>
      </w:r>
      <w:r w:rsidRPr="005C446D">
        <w:rPr>
          <w:rFonts w:ascii="Times New Roman" w:hAnsi="Times New Roman"/>
          <w:color w:val="000000" w:themeColor="text1"/>
        </w:rPr>
        <w:t xml:space="preserve">146.810,70. Based on these calculations, it can be concluded that unit cost in patients with </w:t>
      </w:r>
      <w:r w:rsidR="008F72C6" w:rsidRPr="005C446D">
        <w:rPr>
          <w:rFonts w:ascii="Times New Roman" w:hAnsi="Times New Roman"/>
          <w:color w:val="000000" w:themeColor="text1"/>
        </w:rPr>
        <w:t>Mild</w:t>
      </w:r>
      <w:r w:rsidRPr="005C446D">
        <w:rPr>
          <w:rFonts w:ascii="Times New Roman" w:hAnsi="Times New Roman"/>
          <w:color w:val="000000" w:themeColor="text1"/>
        </w:rPr>
        <w:t xml:space="preserve"> Head Injury (CKR) with A</w:t>
      </w:r>
      <w:r w:rsidR="008F72C6" w:rsidRPr="005C446D">
        <w:rPr>
          <w:rFonts w:ascii="Times New Roman" w:hAnsi="Times New Roman"/>
          <w:color w:val="000000" w:themeColor="text1"/>
        </w:rPr>
        <w:t xml:space="preserve">ctivity </w:t>
      </w:r>
      <w:r w:rsidRPr="005C446D">
        <w:rPr>
          <w:rFonts w:ascii="Times New Roman" w:hAnsi="Times New Roman"/>
          <w:color w:val="000000" w:themeColor="text1"/>
        </w:rPr>
        <w:t>B</w:t>
      </w:r>
      <w:r w:rsidR="008F72C6" w:rsidRPr="005C446D">
        <w:rPr>
          <w:rFonts w:ascii="Times New Roman" w:hAnsi="Times New Roman"/>
          <w:color w:val="000000" w:themeColor="text1"/>
        </w:rPr>
        <w:t xml:space="preserve">ased </w:t>
      </w:r>
      <w:r w:rsidRPr="005C446D">
        <w:rPr>
          <w:rFonts w:ascii="Times New Roman" w:hAnsi="Times New Roman"/>
          <w:color w:val="000000" w:themeColor="text1"/>
        </w:rPr>
        <w:t>C</w:t>
      </w:r>
      <w:r w:rsidR="008F72C6" w:rsidRPr="005C446D">
        <w:rPr>
          <w:rFonts w:ascii="Times New Roman" w:hAnsi="Times New Roman"/>
          <w:color w:val="000000" w:themeColor="text1"/>
        </w:rPr>
        <w:t>osting</w:t>
      </w:r>
      <w:r w:rsidRPr="005C446D">
        <w:rPr>
          <w:rFonts w:ascii="Times New Roman" w:hAnsi="Times New Roman"/>
          <w:color w:val="000000" w:themeColor="text1"/>
        </w:rPr>
        <w:t xml:space="preserve"> method found lower cost results compared to real cost and INA-CBG's tariff.</w:t>
      </w:r>
    </w:p>
    <w:p w14:paraId="131FDCD5" w14:textId="77777777" w:rsidR="00744CE5" w:rsidRPr="005C446D" w:rsidRDefault="00744CE5" w:rsidP="00744CE5">
      <w:pPr>
        <w:rPr>
          <w:rFonts w:ascii="Times New Roman" w:hAnsi="Times New Roman"/>
          <w:b/>
          <w:color w:val="000000" w:themeColor="text1"/>
          <w:sz w:val="24"/>
          <w:szCs w:val="24"/>
        </w:rPr>
      </w:pPr>
    </w:p>
    <w:p w14:paraId="486789CE" w14:textId="6BCBC1DA" w:rsidR="00744CE5" w:rsidRDefault="00E3734B" w:rsidP="00E3734B">
      <w:pPr>
        <w:jc w:val="center"/>
        <w:rPr>
          <w:rFonts w:ascii="Times New Roman" w:eastAsia="Cambria" w:hAnsi="Times New Roman" w:cs="Times New Roman"/>
          <w:b/>
          <w:color w:val="000000" w:themeColor="text1"/>
          <w:sz w:val="24"/>
        </w:rPr>
      </w:pPr>
      <w:bookmarkStart w:id="0" w:name="page5"/>
      <w:bookmarkEnd w:id="0"/>
      <w:r>
        <w:rPr>
          <w:rFonts w:ascii="Times New Roman" w:eastAsia="Cambria" w:hAnsi="Times New Roman" w:cs="Times New Roman"/>
          <w:b/>
          <w:color w:val="000000" w:themeColor="text1"/>
          <w:sz w:val="24"/>
        </w:rPr>
        <w:t>REFERENCE</w:t>
      </w:r>
    </w:p>
    <w:p w14:paraId="02D8C900" w14:textId="77777777" w:rsidR="00E3734B" w:rsidRPr="005C446D" w:rsidRDefault="00E3734B" w:rsidP="00E3734B">
      <w:pPr>
        <w:jc w:val="center"/>
        <w:rPr>
          <w:rFonts w:ascii="Times New Roman" w:eastAsia="Cambria" w:hAnsi="Times New Roman" w:cs="Times New Roman"/>
          <w:b/>
          <w:color w:val="000000" w:themeColor="text1"/>
          <w:sz w:val="24"/>
        </w:rPr>
      </w:pPr>
      <w:bookmarkStart w:id="1" w:name="_GoBack"/>
      <w:bookmarkEnd w:id="1"/>
    </w:p>
    <w:p w14:paraId="471E870A" w14:textId="77777777" w:rsidR="00744CE5" w:rsidRPr="005C446D" w:rsidRDefault="00744CE5" w:rsidP="00744CE5">
      <w:pPr>
        <w:numPr>
          <w:ilvl w:val="0"/>
          <w:numId w:val="6"/>
        </w:numPr>
        <w:ind w:left="357" w:hanging="357"/>
        <w:jc w:val="both"/>
        <w:rPr>
          <w:rFonts w:ascii="Times New Roman" w:hAnsi="Times New Roman"/>
          <w:i/>
          <w:color w:val="000000" w:themeColor="text1"/>
          <w:sz w:val="24"/>
          <w:szCs w:val="24"/>
        </w:rPr>
      </w:pPr>
      <w:proofErr w:type="spellStart"/>
      <w:r w:rsidRPr="005C446D">
        <w:rPr>
          <w:rFonts w:ascii="Times New Roman" w:hAnsi="Times New Roman"/>
          <w:color w:val="000000" w:themeColor="text1"/>
          <w:sz w:val="24"/>
          <w:szCs w:val="24"/>
        </w:rPr>
        <w:t>Sugiyarti</w:t>
      </w:r>
      <w:proofErr w:type="spellEnd"/>
      <w:r w:rsidRPr="005C446D">
        <w:rPr>
          <w:rFonts w:ascii="Times New Roman" w:hAnsi="Times New Roman"/>
          <w:color w:val="000000" w:themeColor="text1"/>
          <w:sz w:val="24"/>
          <w:szCs w:val="24"/>
        </w:rPr>
        <w:t xml:space="preserve">, 2013, </w:t>
      </w:r>
      <w:proofErr w:type="spellStart"/>
      <w:r w:rsidRPr="005C446D">
        <w:rPr>
          <w:rFonts w:ascii="Times New Roman" w:hAnsi="Times New Roman"/>
          <w:color w:val="000000" w:themeColor="text1"/>
          <w:sz w:val="24"/>
          <w:szCs w:val="24"/>
        </w:rPr>
        <w:t>Analisis</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Biaya</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Satuan</w:t>
      </w:r>
      <w:proofErr w:type="spellEnd"/>
      <w:r w:rsidRPr="005C446D">
        <w:rPr>
          <w:rFonts w:ascii="Times New Roman" w:hAnsi="Times New Roman"/>
          <w:color w:val="000000" w:themeColor="text1"/>
          <w:sz w:val="24"/>
          <w:szCs w:val="24"/>
        </w:rPr>
        <w:t xml:space="preserve"> Unit Cost </w:t>
      </w:r>
      <w:proofErr w:type="spellStart"/>
      <w:r w:rsidRPr="005C446D">
        <w:rPr>
          <w:rFonts w:ascii="Times New Roman" w:hAnsi="Times New Roman"/>
          <w:color w:val="000000" w:themeColor="text1"/>
          <w:sz w:val="24"/>
          <w:szCs w:val="24"/>
        </w:rPr>
        <w:t>Dengan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Metode</w:t>
      </w:r>
      <w:proofErr w:type="spellEnd"/>
      <w:r w:rsidRPr="005C446D">
        <w:rPr>
          <w:rFonts w:ascii="Times New Roman" w:hAnsi="Times New Roman"/>
          <w:color w:val="000000" w:themeColor="text1"/>
          <w:sz w:val="24"/>
          <w:szCs w:val="24"/>
        </w:rPr>
        <w:t xml:space="preserve"> Activity Based Costing ABC </w:t>
      </w:r>
      <w:proofErr w:type="spellStart"/>
      <w:r w:rsidRPr="005C446D">
        <w:rPr>
          <w:rFonts w:ascii="Times New Roman" w:hAnsi="Times New Roman"/>
          <w:color w:val="000000" w:themeColor="text1"/>
          <w:sz w:val="24"/>
          <w:szCs w:val="24"/>
        </w:rPr>
        <w:t>Studi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Kasus</w:t>
      </w:r>
      <w:proofErr w:type="spellEnd"/>
      <w:r w:rsidRPr="005C446D">
        <w:rPr>
          <w:rFonts w:ascii="Times New Roman" w:hAnsi="Times New Roman"/>
          <w:color w:val="000000" w:themeColor="text1"/>
          <w:sz w:val="24"/>
          <w:szCs w:val="24"/>
        </w:rPr>
        <w:t xml:space="preserve"> di </w:t>
      </w:r>
      <w:proofErr w:type="spellStart"/>
      <w:r w:rsidRPr="005C446D">
        <w:rPr>
          <w:rFonts w:ascii="Times New Roman" w:hAnsi="Times New Roman"/>
          <w:color w:val="000000" w:themeColor="text1"/>
          <w:sz w:val="24"/>
          <w:szCs w:val="24"/>
        </w:rPr>
        <w:t>Poli</w:t>
      </w:r>
      <w:proofErr w:type="spellEnd"/>
      <w:r w:rsidRPr="005C446D">
        <w:rPr>
          <w:rFonts w:ascii="Times New Roman" w:hAnsi="Times New Roman"/>
          <w:color w:val="000000" w:themeColor="text1"/>
          <w:sz w:val="24"/>
          <w:szCs w:val="24"/>
        </w:rPr>
        <w:t xml:space="preserve"> Mata RSD </w:t>
      </w:r>
      <w:proofErr w:type="spellStart"/>
      <w:r w:rsidRPr="005C446D">
        <w:rPr>
          <w:rFonts w:ascii="Times New Roman" w:hAnsi="Times New Roman"/>
          <w:color w:val="000000" w:themeColor="text1"/>
          <w:sz w:val="24"/>
          <w:szCs w:val="24"/>
        </w:rPr>
        <w:t>Balung</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Kabupaten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Jember</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i/>
          <w:color w:val="000000" w:themeColor="text1"/>
          <w:sz w:val="24"/>
          <w:szCs w:val="24"/>
        </w:rPr>
        <w:t>Jurnal</w:t>
      </w:r>
      <w:proofErr w:type="spellEnd"/>
      <w:r w:rsidRPr="005C446D">
        <w:rPr>
          <w:rFonts w:ascii="Times New Roman" w:hAnsi="Times New Roman"/>
          <w:i/>
          <w:color w:val="000000" w:themeColor="text1"/>
          <w:sz w:val="24"/>
          <w:szCs w:val="24"/>
        </w:rPr>
        <w:t xml:space="preserve"> </w:t>
      </w:r>
      <w:proofErr w:type="spellStart"/>
      <w:r w:rsidRPr="005C446D">
        <w:rPr>
          <w:rFonts w:ascii="Times New Roman" w:hAnsi="Times New Roman"/>
          <w:i/>
          <w:color w:val="000000" w:themeColor="text1"/>
          <w:sz w:val="24"/>
          <w:szCs w:val="24"/>
        </w:rPr>
        <w:t>Pustaka</w:t>
      </w:r>
      <w:proofErr w:type="spellEnd"/>
      <w:r w:rsidRPr="005C446D">
        <w:rPr>
          <w:rFonts w:ascii="Times New Roman" w:hAnsi="Times New Roman"/>
          <w:i/>
          <w:color w:val="000000" w:themeColor="text1"/>
          <w:sz w:val="24"/>
          <w:szCs w:val="24"/>
        </w:rPr>
        <w:t xml:space="preserve"> </w:t>
      </w:r>
      <w:proofErr w:type="spellStart"/>
      <w:r w:rsidRPr="005C446D">
        <w:rPr>
          <w:rFonts w:ascii="Times New Roman" w:hAnsi="Times New Roman"/>
          <w:i/>
          <w:color w:val="000000" w:themeColor="text1"/>
          <w:sz w:val="24"/>
          <w:szCs w:val="24"/>
        </w:rPr>
        <w:t>Kesehatan</w:t>
      </w:r>
      <w:proofErr w:type="spellEnd"/>
      <w:r w:rsidRPr="005C446D">
        <w:rPr>
          <w:rFonts w:ascii="Times New Roman" w:hAnsi="Times New Roman"/>
          <w:i/>
          <w:color w:val="000000" w:themeColor="text1"/>
          <w:sz w:val="24"/>
          <w:szCs w:val="24"/>
        </w:rPr>
        <w:t xml:space="preserve">, </w:t>
      </w:r>
      <w:proofErr w:type="spellStart"/>
      <w:r w:rsidRPr="005C446D">
        <w:rPr>
          <w:rFonts w:ascii="Times New Roman" w:hAnsi="Times New Roman"/>
          <w:i/>
          <w:color w:val="000000" w:themeColor="text1"/>
          <w:sz w:val="24"/>
          <w:szCs w:val="24"/>
        </w:rPr>
        <w:t>vol</w:t>
      </w:r>
      <w:proofErr w:type="spellEnd"/>
      <w:r w:rsidRPr="005C446D">
        <w:rPr>
          <w:rFonts w:ascii="Times New Roman" w:hAnsi="Times New Roman"/>
          <w:i/>
          <w:color w:val="000000" w:themeColor="text1"/>
          <w:sz w:val="24"/>
          <w:szCs w:val="24"/>
        </w:rPr>
        <w:t xml:space="preserve"> 1, no. 1, September 2013.</w:t>
      </w:r>
    </w:p>
    <w:p w14:paraId="792F775A" w14:textId="77777777" w:rsidR="00744CE5" w:rsidRPr="005C446D" w:rsidRDefault="00744CE5" w:rsidP="00744CE5">
      <w:pPr>
        <w:numPr>
          <w:ilvl w:val="0"/>
          <w:numId w:val="6"/>
        </w:numPr>
        <w:ind w:left="357" w:hanging="357"/>
        <w:jc w:val="both"/>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Pusat</w:t>
      </w:r>
      <w:proofErr w:type="spellEnd"/>
      <w:r w:rsidRPr="005C446D">
        <w:rPr>
          <w:rFonts w:ascii="Times New Roman" w:hAnsi="Times New Roman"/>
          <w:color w:val="000000" w:themeColor="text1"/>
          <w:sz w:val="24"/>
          <w:szCs w:val="24"/>
        </w:rPr>
        <w:t xml:space="preserve"> </w:t>
      </w:r>
      <w:r w:rsidRPr="005C446D">
        <w:rPr>
          <w:rFonts w:ascii="Times New Roman" w:hAnsi="Times New Roman"/>
          <w:noProof/>
          <w:color w:val="000000" w:themeColor="text1"/>
          <w:sz w:val="24"/>
          <w:szCs w:val="24"/>
          <w:lang w:eastAsia="id-ID"/>
        </w:rPr>
        <w:t>Pembiayaan</w:t>
      </w:r>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dan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Jaminan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Kesehatan</w:t>
      </w:r>
      <w:proofErr w:type="spellEnd"/>
      <w:r w:rsidRPr="005C446D">
        <w:rPr>
          <w:rFonts w:ascii="Times New Roman" w:hAnsi="Times New Roman"/>
          <w:color w:val="000000" w:themeColor="text1"/>
          <w:sz w:val="24"/>
          <w:szCs w:val="24"/>
        </w:rPr>
        <w:t xml:space="preserve">, 2012, </w:t>
      </w:r>
      <w:proofErr w:type="spellStart"/>
      <w:r w:rsidRPr="005C446D">
        <w:rPr>
          <w:rFonts w:ascii="Times New Roman" w:hAnsi="Times New Roman"/>
          <w:color w:val="000000" w:themeColor="text1"/>
          <w:sz w:val="24"/>
          <w:szCs w:val="24"/>
        </w:rPr>
        <w:t>Pembiayaan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dan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Jaminan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Kesehatan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tersedia</w:t>
      </w:r>
      <w:proofErr w:type="spellEnd"/>
      <w:r w:rsidRPr="005C446D">
        <w:rPr>
          <w:rFonts w:ascii="Times New Roman" w:hAnsi="Times New Roman"/>
          <w:color w:val="000000" w:themeColor="text1"/>
          <w:sz w:val="24"/>
          <w:szCs w:val="24"/>
        </w:rPr>
        <w:t xml:space="preserve"> online, </w:t>
      </w:r>
      <w:hyperlink r:id="rId6" w:history="1">
        <w:r w:rsidRPr="005C446D">
          <w:rPr>
            <w:rStyle w:val="Hyperlink"/>
            <w:rFonts w:ascii="Times New Roman" w:hAnsi="Times New Roman"/>
            <w:color w:val="000000" w:themeColor="text1"/>
            <w:sz w:val="24"/>
            <w:szCs w:val="24"/>
            <w:u w:val="none"/>
          </w:rPr>
          <w:t>http://www.ppjk</w:t>
        </w:r>
      </w:hyperlink>
      <w:proofErr w:type="gramStart"/>
      <w:r w:rsidRPr="005C446D">
        <w:rPr>
          <w:rFonts w:ascii="Times New Roman" w:hAnsi="Times New Roman"/>
          <w:color w:val="000000" w:themeColor="text1"/>
          <w:sz w:val="24"/>
          <w:szCs w:val="24"/>
        </w:rPr>
        <w:t>.depkes.go.id/index.php?option</w:t>
      </w:r>
      <w:proofErr w:type="gramEnd"/>
      <w:r w:rsidRPr="005C446D">
        <w:rPr>
          <w:rFonts w:ascii="Times New Roman" w:hAnsi="Times New Roman"/>
          <w:color w:val="000000" w:themeColor="text1"/>
          <w:sz w:val="24"/>
          <w:szCs w:val="24"/>
        </w:rPr>
        <w:t xml:space="preserve">=com_content&amp;view=article&amp;id=1:selamat-datangdi-pembiayaan-a-jaminan-kesehatan- </w:t>
      </w:r>
      <w:proofErr w:type="spellStart"/>
      <w:r w:rsidRPr="005C446D">
        <w:rPr>
          <w:rFonts w:ascii="Times New Roman" w:hAnsi="Times New Roman"/>
          <w:color w:val="000000" w:themeColor="text1"/>
          <w:sz w:val="24"/>
          <w:szCs w:val="24"/>
        </w:rPr>
        <w:t>online&amp;catid</w:t>
      </w:r>
      <w:proofErr w:type="spellEnd"/>
      <w:r w:rsidRPr="005C446D">
        <w:rPr>
          <w:rFonts w:ascii="Times New Roman" w:hAnsi="Times New Roman"/>
          <w:color w:val="000000" w:themeColor="text1"/>
          <w:sz w:val="24"/>
          <w:szCs w:val="24"/>
        </w:rPr>
        <w:t xml:space="preserve">=56&amp;Itemid=28 </w:t>
      </w:r>
      <w:proofErr w:type="spellStart"/>
      <w:r w:rsidRPr="005C446D">
        <w:rPr>
          <w:rFonts w:ascii="Times New Roman" w:hAnsi="Times New Roman"/>
          <w:color w:val="000000" w:themeColor="text1"/>
          <w:sz w:val="24"/>
          <w:szCs w:val="24"/>
        </w:rPr>
        <w:t>diakses</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pada</w:t>
      </w:r>
      <w:proofErr w:type="spellEnd"/>
      <w:r w:rsidRPr="005C446D">
        <w:rPr>
          <w:rFonts w:ascii="Times New Roman" w:hAnsi="Times New Roman"/>
          <w:color w:val="000000" w:themeColor="text1"/>
          <w:sz w:val="24"/>
          <w:szCs w:val="24"/>
        </w:rPr>
        <w:t xml:space="preserve"> 15 </w:t>
      </w:r>
      <w:proofErr w:type="spellStart"/>
      <w:r w:rsidRPr="005C446D">
        <w:rPr>
          <w:rFonts w:ascii="Times New Roman" w:hAnsi="Times New Roman"/>
          <w:color w:val="000000" w:themeColor="text1"/>
          <w:sz w:val="24"/>
          <w:szCs w:val="24"/>
        </w:rPr>
        <w:t>Maret</w:t>
      </w:r>
      <w:proofErr w:type="spellEnd"/>
      <w:r w:rsidRPr="005C446D">
        <w:rPr>
          <w:rFonts w:ascii="Times New Roman" w:hAnsi="Times New Roman"/>
          <w:color w:val="000000" w:themeColor="text1"/>
          <w:sz w:val="24"/>
          <w:szCs w:val="24"/>
        </w:rPr>
        <w:t xml:space="preserve"> 2017.</w:t>
      </w:r>
    </w:p>
    <w:p w14:paraId="2D02A70A" w14:textId="77777777" w:rsidR="00744CE5" w:rsidRPr="005C446D" w:rsidRDefault="00744CE5" w:rsidP="00744CE5">
      <w:pPr>
        <w:numPr>
          <w:ilvl w:val="0"/>
          <w:numId w:val="6"/>
        </w:numPr>
        <w:ind w:left="357" w:hanging="357"/>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Sari RP, 2014, </w:t>
      </w:r>
      <w:proofErr w:type="spellStart"/>
      <w:r w:rsidRPr="005C446D">
        <w:rPr>
          <w:rFonts w:ascii="Times New Roman" w:hAnsi="Times New Roman"/>
          <w:color w:val="000000" w:themeColor="text1"/>
          <w:sz w:val="24"/>
          <w:szCs w:val="24"/>
        </w:rPr>
        <w:t>Perbandingan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Biaya</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Riil</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Dengan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Traif</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Paket</w:t>
      </w:r>
      <w:proofErr w:type="spellEnd"/>
      <w:r w:rsidRPr="005C446D">
        <w:rPr>
          <w:rFonts w:ascii="Times New Roman" w:hAnsi="Times New Roman"/>
          <w:color w:val="000000" w:themeColor="text1"/>
          <w:sz w:val="24"/>
          <w:szCs w:val="24"/>
        </w:rPr>
        <w:t xml:space="preserve"> INA-CBG‟s Dan </w:t>
      </w:r>
      <w:proofErr w:type="spellStart"/>
      <w:r w:rsidRPr="005C446D">
        <w:rPr>
          <w:rFonts w:ascii="Times New Roman" w:hAnsi="Times New Roman"/>
          <w:color w:val="000000" w:themeColor="text1"/>
          <w:sz w:val="24"/>
          <w:szCs w:val="24"/>
        </w:rPr>
        <w:t>Analisis</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Faktor</w:t>
      </w:r>
      <w:proofErr w:type="spellEnd"/>
      <w:r w:rsidRPr="005C446D">
        <w:rPr>
          <w:rFonts w:ascii="Times New Roman" w:hAnsi="Times New Roman"/>
          <w:color w:val="000000" w:themeColor="text1"/>
          <w:sz w:val="24"/>
          <w:szCs w:val="24"/>
        </w:rPr>
        <w:t xml:space="preserve"> Yang </w:t>
      </w:r>
      <w:proofErr w:type="spellStart"/>
      <w:r w:rsidRPr="005C446D">
        <w:rPr>
          <w:rFonts w:ascii="Times New Roman" w:hAnsi="Times New Roman"/>
          <w:color w:val="000000" w:themeColor="text1"/>
          <w:sz w:val="24"/>
          <w:szCs w:val="24"/>
        </w:rPr>
        <w:t>Mempengaruhi</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Biaya</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Riil</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Pada</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Pasien</w:t>
      </w:r>
      <w:proofErr w:type="spellEnd"/>
      <w:r w:rsidRPr="005C446D">
        <w:rPr>
          <w:rFonts w:ascii="Times New Roman" w:hAnsi="Times New Roman"/>
          <w:color w:val="000000" w:themeColor="text1"/>
          <w:sz w:val="24"/>
          <w:szCs w:val="24"/>
        </w:rPr>
        <w:t xml:space="preserve"> Diabetes Mellitus </w:t>
      </w:r>
      <w:proofErr w:type="spellStart"/>
      <w:r w:rsidRPr="005C446D">
        <w:rPr>
          <w:rFonts w:ascii="Times New Roman" w:hAnsi="Times New Roman"/>
          <w:color w:val="000000" w:themeColor="text1"/>
          <w:sz w:val="24"/>
          <w:szCs w:val="24"/>
        </w:rPr>
        <w:t>Rawat</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Inap</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Jamkesmas</w:t>
      </w:r>
      <w:proofErr w:type="spellEnd"/>
      <w:r w:rsidRPr="005C446D">
        <w:rPr>
          <w:rFonts w:ascii="Times New Roman" w:hAnsi="Times New Roman"/>
          <w:color w:val="000000" w:themeColor="text1"/>
          <w:sz w:val="24"/>
          <w:szCs w:val="24"/>
        </w:rPr>
        <w:t xml:space="preserve"> di RSUP Dr. </w:t>
      </w:r>
      <w:proofErr w:type="spellStart"/>
      <w:r w:rsidRPr="005C446D">
        <w:rPr>
          <w:rFonts w:ascii="Times New Roman" w:hAnsi="Times New Roman"/>
          <w:color w:val="000000" w:themeColor="text1"/>
          <w:sz w:val="24"/>
          <w:szCs w:val="24"/>
        </w:rPr>
        <w:t>Sardjito</w:t>
      </w:r>
      <w:proofErr w:type="spellEnd"/>
      <w:r w:rsidRPr="005C446D">
        <w:rPr>
          <w:rFonts w:ascii="Times New Roman" w:hAnsi="Times New Roman"/>
          <w:color w:val="000000" w:themeColor="text1"/>
          <w:sz w:val="24"/>
          <w:szCs w:val="24"/>
        </w:rPr>
        <w:t xml:space="preserve"> Yogyakarta, </w:t>
      </w:r>
      <w:proofErr w:type="spellStart"/>
      <w:r w:rsidRPr="005C446D">
        <w:rPr>
          <w:rFonts w:ascii="Times New Roman" w:hAnsi="Times New Roman"/>
          <w:i/>
          <w:color w:val="000000" w:themeColor="text1"/>
          <w:sz w:val="24"/>
          <w:szCs w:val="24"/>
        </w:rPr>
        <w:t>Jurnal</w:t>
      </w:r>
      <w:proofErr w:type="spellEnd"/>
      <w:r w:rsidRPr="005C446D">
        <w:rPr>
          <w:rFonts w:ascii="Times New Roman" w:hAnsi="Times New Roman"/>
          <w:i/>
          <w:color w:val="000000" w:themeColor="text1"/>
          <w:sz w:val="24"/>
          <w:szCs w:val="24"/>
        </w:rPr>
        <w:t xml:space="preserve"> Spread, vol.4, no. 1, </w:t>
      </w:r>
      <w:proofErr w:type="spellStart"/>
      <w:r w:rsidRPr="005C446D">
        <w:rPr>
          <w:rFonts w:ascii="Times New Roman" w:hAnsi="Times New Roman"/>
          <w:i/>
          <w:color w:val="000000" w:themeColor="text1"/>
          <w:sz w:val="24"/>
          <w:szCs w:val="24"/>
        </w:rPr>
        <w:t>hh</w:t>
      </w:r>
      <w:proofErr w:type="spellEnd"/>
      <w:r w:rsidRPr="005C446D">
        <w:rPr>
          <w:rFonts w:ascii="Times New Roman" w:hAnsi="Times New Roman"/>
          <w:i/>
          <w:color w:val="000000" w:themeColor="text1"/>
          <w:sz w:val="24"/>
          <w:szCs w:val="24"/>
        </w:rPr>
        <w:t>. 61-70.</w:t>
      </w:r>
    </w:p>
    <w:p w14:paraId="59CF0179" w14:textId="77777777" w:rsidR="00744CE5" w:rsidRPr="005C446D" w:rsidRDefault="00744CE5" w:rsidP="00744CE5">
      <w:pPr>
        <w:numPr>
          <w:ilvl w:val="0"/>
          <w:numId w:val="6"/>
        </w:numPr>
        <w:ind w:left="357" w:hanging="357"/>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PERDOSSI, 2003, </w:t>
      </w:r>
      <w:proofErr w:type="spellStart"/>
      <w:r w:rsidRPr="005C446D">
        <w:rPr>
          <w:rFonts w:ascii="Times New Roman" w:hAnsi="Times New Roman"/>
          <w:color w:val="000000" w:themeColor="text1"/>
          <w:sz w:val="24"/>
          <w:szCs w:val="24"/>
        </w:rPr>
        <w:t>Simposium</w:t>
      </w:r>
      <w:proofErr w:type="spellEnd"/>
      <w:r w:rsidRPr="005C446D">
        <w:rPr>
          <w:rFonts w:ascii="Times New Roman" w:hAnsi="Times New Roman"/>
          <w:color w:val="000000" w:themeColor="text1"/>
          <w:sz w:val="24"/>
          <w:szCs w:val="24"/>
        </w:rPr>
        <w:t xml:space="preserve"> trauma </w:t>
      </w:r>
      <w:proofErr w:type="spellStart"/>
      <w:r w:rsidRPr="005C446D">
        <w:rPr>
          <w:rFonts w:ascii="Times New Roman" w:hAnsi="Times New Roman"/>
          <w:color w:val="000000" w:themeColor="text1"/>
          <w:sz w:val="24"/>
          <w:szCs w:val="24"/>
        </w:rPr>
        <w:t>kranio-serebral</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tanggal</w:t>
      </w:r>
      <w:proofErr w:type="spellEnd"/>
      <w:r w:rsidRPr="005C446D">
        <w:rPr>
          <w:rFonts w:ascii="Times New Roman" w:hAnsi="Times New Roman"/>
          <w:color w:val="000000" w:themeColor="text1"/>
          <w:sz w:val="24"/>
          <w:szCs w:val="24"/>
        </w:rPr>
        <w:t xml:space="preserve"> 3 November 2007. </w:t>
      </w:r>
      <w:proofErr w:type="spellStart"/>
      <w:r w:rsidRPr="005C446D">
        <w:rPr>
          <w:rFonts w:ascii="Times New Roman" w:hAnsi="Times New Roman"/>
          <w:color w:val="000000" w:themeColor="text1"/>
          <w:sz w:val="24"/>
          <w:szCs w:val="24"/>
        </w:rPr>
        <w:t>Pekanbaru</w:t>
      </w:r>
      <w:proofErr w:type="spellEnd"/>
      <w:r w:rsidRPr="005C446D">
        <w:rPr>
          <w:rFonts w:ascii="Times New Roman" w:hAnsi="Times New Roman"/>
          <w:color w:val="000000" w:themeColor="text1"/>
          <w:sz w:val="24"/>
          <w:szCs w:val="24"/>
        </w:rPr>
        <w:t xml:space="preserve"> Hickey JV. </w:t>
      </w:r>
      <w:proofErr w:type="spellStart"/>
      <w:r w:rsidRPr="005C446D">
        <w:rPr>
          <w:rFonts w:ascii="Times New Roman" w:hAnsi="Times New Roman"/>
          <w:i/>
          <w:iCs/>
          <w:color w:val="000000" w:themeColor="text1"/>
          <w:sz w:val="24"/>
          <w:szCs w:val="24"/>
        </w:rPr>
        <w:t>Craniocerebral</w:t>
      </w:r>
      <w:proofErr w:type="spellEnd"/>
      <w:r w:rsidRPr="005C446D">
        <w:rPr>
          <w:rFonts w:ascii="Times New Roman" w:hAnsi="Times New Roman"/>
          <w:i/>
          <w:iCs/>
          <w:color w:val="000000" w:themeColor="text1"/>
          <w:sz w:val="24"/>
          <w:szCs w:val="24"/>
        </w:rPr>
        <w:t xml:space="preserve"> Trauma</w:t>
      </w:r>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Dalam</w:t>
      </w:r>
      <w:proofErr w:type="spellEnd"/>
      <w:r w:rsidRPr="005C446D">
        <w:rPr>
          <w:rFonts w:ascii="Times New Roman" w:hAnsi="Times New Roman"/>
          <w:color w:val="000000" w:themeColor="text1"/>
          <w:sz w:val="24"/>
          <w:szCs w:val="24"/>
        </w:rPr>
        <w:t xml:space="preserve">: </w:t>
      </w:r>
      <w:r w:rsidRPr="005C446D">
        <w:rPr>
          <w:rFonts w:ascii="Times New Roman" w:hAnsi="Times New Roman"/>
          <w:i/>
          <w:iCs/>
          <w:color w:val="000000" w:themeColor="text1"/>
          <w:sz w:val="24"/>
          <w:szCs w:val="24"/>
        </w:rPr>
        <w:t>The Clinical Practice of Neurological and Neurosurgical Nursing 5</w:t>
      </w:r>
      <w:r w:rsidRPr="005C446D">
        <w:rPr>
          <w:rFonts w:ascii="Times New Roman" w:hAnsi="Times New Roman"/>
          <w:i/>
          <w:iCs/>
          <w:color w:val="000000" w:themeColor="text1"/>
          <w:sz w:val="24"/>
          <w:szCs w:val="24"/>
          <w:vertAlign w:val="superscript"/>
        </w:rPr>
        <w:t>th</w:t>
      </w:r>
      <w:r w:rsidRPr="005C446D">
        <w:rPr>
          <w:rFonts w:ascii="Times New Roman" w:hAnsi="Times New Roman"/>
          <w:color w:val="000000" w:themeColor="text1"/>
          <w:sz w:val="24"/>
          <w:szCs w:val="24"/>
        </w:rPr>
        <w:t xml:space="preserve"> </w:t>
      </w:r>
      <w:r w:rsidRPr="005C446D">
        <w:rPr>
          <w:rFonts w:ascii="Times New Roman" w:hAnsi="Times New Roman"/>
          <w:i/>
          <w:iCs/>
          <w:color w:val="000000" w:themeColor="text1"/>
          <w:sz w:val="24"/>
          <w:szCs w:val="24"/>
        </w:rPr>
        <w:t>edition</w:t>
      </w:r>
      <w:r w:rsidRPr="005C446D">
        <w:rPr>
          <w:rFonts w:ascii="Times New Roman" w:hAnsi="Times New Roman"/>
          <w:color w:val="000000" w:themeColor="text1"/>
          <w:sz w:val="24"/>
          <w:szCs w:val="24"/>
        </w:rPr>
        <w:t xml:space="preserve">. </w:t>
      </w:r>
      <w:proofErr w:type="gramStart"/>
      <w:r w:rsidRPr="005C446D">
        <w:rPr>
          <w:rFonts w:ascii="Times New Roman" w:hAnsi="Times New Roman"/>
          <w:color w:val="000000" w:themeColor="text1"/>
          <w:sz w:val="24"/>
          <w:szCs w:val="24"/>
        </w:rPr>
        <w:t>Philadelphia :</w:t>
      </w:r>
      <w:proofErr w:type="gram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lippincot</w:t>
      </w:r>
      <w:proofErr w:type="spellEnd"/>
      <w:r w:rsidRPr="005C446D">
        <w:rPr>
          <w:rFonts w:ascii="Times New Roman" w:hAnsi="Times New Roman"/>
          <w:color w:val="000000" w:themeColor="text1"/>
          <w:sz w:val="24"/>
          <w:szCs w:val="24"/>
        </w:rPr>
        <w:t xml:space="preserve"> William &amp; Wilkins, 2003</w:t>
      </w:r>
    </w:p>
    <w:p w14:paraId="75786CCD" w14:textId="77777777" w:rsidR="00744CE5" w:rsidRPr="005C446D" w:rsidRDefault="00744CE5" w:rsidP="00744CE5">
      <w:pPr>
        <w:numPr>
          <w:ilvl w:val="0"/>
          <w:numId w:val="6"/>
        </w:numPr>
        <w:ind w:left="357" w:hanging="357"/>
        <w:jc w:val="both"/>
        <w:rPr>
          <w:rFonts w:ascii="Times New Roman" w:hAnsi="Times New Roman"/>
          <w:color w:val="000000" w:themeColor="text1"/>
          <w:sz w:val="24"/>
          <w:szCs w:val="24"/>
        </w:rPr>
      </w:pPr>
      <w:r w:rsidRPr="005C446D">
        <w:rPr>
          <w:rFonts w:ascii="Times New Roman" w:hAnsi="Times New Roman"/>
          <w:iCs/>
          <w:color w:val="000000" w:themeColor="text1"/>
          <w:sz w:val="24"/>
          <w:szCs w:val="24"/>
        </w:rPr>
        <w:t xml:space="preserve">Defense Centers of </w:t>
      </w:r>
      <w:proofErr w:type="spellStart"/>
      <w:r w:rsidRPr="005C446D">
        <w:rPr>
          <w:rFonts w:ascii="Times New Roman" w:hAnsi="Times New Roman"/>
          <w:iCs/>
          <w:color w:val="000000" w:themeColor="text1"/>
          <w:sz w:val="24"/>
          <w:szCs w:val="24"/>
        </w:rPr>
        <w:t>Exellence</w:t>
      </w:r>
      <w:proofErr w:type="spellEnd"/>
      <w:r w:rsidRPr="005C446D">
        <w:rPr>
          <w:rFonts w:ascii="Times New Roman" w:hAnsi="Times New Roman"/>
          <w:color w:val="000000" w:themeColor="text1"/>
          <w:sz w:val="24"/>
          <w:szCs w:val="24"/>
        </w:rPr>
        <w:t xml:space="preserve">, 2010, </w:t>
      </w:r>
      <w:r w:rsidRPr="005C446D">
        <w:rPr>
          <w:rFonts w:ascii="Times New Roman" w:hAnsi="Times New Roman"/>
          <w:i/>
          <w:color w:val="000000" w:themeColor="text1"/>
          <w:sz w:val="24"/>
          <w:szCs w:val="24"/>
        </w:rPr>
        <w:t>Assessment and Management of Dizziness Associated with Mild TBI</w:t>
      </w:r>
      <w:r w:rsidRPr="005C446D">
        <w:rPr>
          <w:rFonts w:ascii="Times New Roman" w:hAnsi="Times New Roman"/>
          <w:color w:val="000000" w:themeColor="text1"/>
          <w:sz w:val="24"/>
          <w:szCs w:val="24"/>
        </w:rPr>
        <w:t xml:space="preserve">. </w:t>
      </w:r>
      <w:hyperlink r:id="rId7" w:history="1">
        <w:r w:rsidRPr="005C446D">
          <w:rPr>
            <w:rStyle w:val="Hyperlink"/>
            <w:rFonts w:ascii="Times New Roman" w:hAnsi="Times New Roman"/>
            <w:color w:val="000000" w:themeColor="text1"/>
            <w:sz w:val="24"/>
            <w:szCs w:val="24"/>
            <w:u w:val="none"/>
          </w:rPr>
          <w:t>http://www.dcoe.mil/Content/Navigation</w:t>
        </w:r>
      </w:hyperlink>
      <w:r w:rsidRPr="005C446D">
        <w:rPr>
          <w:rFonts w:ascii="Times New Roman" w:hAnsi="Times New Roman"/>
          <w:color w:val="000000" w:themeColor="text1"/>
          <w:sz w:val="24"/>
          <w:szCs w:val="24"/>
        </w:rPr>
        <w:t xml:space="preserve"> /Documents/Dizziness_Associated_with_Mild_TBI_Clinical_Recommendation.pdf</w:t>
      </w:r>
    </w:p>
    <w:p w14:paraId="27F2D941" w14:textId="77777777" w:rsidR="00744CE5" w:rsidRPr="005C446D" w:rsidRDefault="00744CE5" w:rsidP="00744CE5">
      <w:pPr>
        <w:numPr>
          <w:ilvl w:val="0"/>
          <w:numId w:val="6"/>
        </w:numPr>
        <w:ind w:left="357" w:hanging="357"/>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American College of Surgeon Committee on Trauma, 2004, </w:t>
      </w:r>
      <w:proofErr w:type="spellStart"/>
      <w:r w:rsidRPr="005C446D">
        <w:rPr>
          <w:rFonts w:ascii="Times New Roman" w:hAnsi="Times New Roman"/>
          <w:i/>
          <w:iCs/>
          <w:color w:val="000000" w:themeColor="text1"/>
          <w:sz w:val="24"/>
          <w:szCs w:val="24"/>
        </w:rPr>
        <w:t>Cedera</w:t>
      </w:r>
      <w:proofErr w:type="spellEnd"/>
      <w:r w:rsidRPr="005C446D">
        <w:rPr>
          <w:rFonts w:ascii="Times New Roman" w:hAnsi="Times New Roman"/>
          <w:i/>
          <w:iCs/>
          <w:color w:val="000000" w:themeColor="text1"/>
          <w:sz w:val="24"/>
          <w:szCs w:val="24"/>
        </w:rPr>
        <w:t xml:space="preserve"> </w:t>
      </w:r>
      <w:proofErr w:type="spellStart"/>
      <w:r w:rsidRPr="005C446D">
        <w:rPr>
          <w:rFonts w:ascii="Times New Roman" w:hAnsi="Times New Roman"/>
          <w:i/>
          <w:iCs/>
          <w:color w:val="000000" w:themeColor="text1"/>
          <w:sz w:val="24"/>
          <w:szCs w:val="24"/>
        </w:rPr>
        <w:t>Kepala</w:t>
      </w:r>
      <w:proofErr w:type="spellEnd"/>
      <w:r w:rsidRPr="005C446D">
        <w:rPr>
          <w:rFonts w:ascii="Times New Roman" w:hAnsi="Times New Roman"/>
          <w:i/>
          <w:iCs/>
          <w:color w:val="000000" w:themeColor="text1"/>
          <w:sz w:val="24"/>
          <w:szCs w:val="24"/>
        </w:rPr>
        <w:t xml:space="preserve"> </w:t>
      </w:r>
      <w:proofErr w:type="spellStart"/>
      <w:r w:rsidRPr="005C446D">
        <w:rPr>
          <w:rFonts w:ascii="Times New Roman" w:hAnsi="Times New Roman"/>
          <w:color w:val="000000" w:themeColor="text1"/>
          <w:sz w:val="24"/>
          <w:szCs w:val="24"/>
        </w:rPr>
        <w:t>dalam</w:t>
      </w:r>
      <w:proofErr w:type="spellEnd"/>
      <w:r w:rsidRPr="005C446D">
        <w:rPr>
          <w:rFonts w:ascii="Times New Roman" w:hAnsi="Times New Roman"/>
          <w:color w:val="000000" w:themeColor="text1"/>
          <w:sz w:val="24"/>
          <w:szCs w:val="24"/>
        </w:rPr>
        <w:t xml:space="preserve"> </w:t>
      </w:r>
      <w:r w:rsidRPr="005C446D">
        <w:rPr>
          <w:rFonts w:ascii="Times New Roman" w:hAnsi="Times New Roman"/>
          <w:i/>
          <w:iCs/>
          <w:color w:val="000000" w:themeColor="text1"/>
          <w:sz w:val="24"/>
          <w:szCs w:val="24"/>
        </w:rPr>
        <w:t>Advanced Trauma Life Support for Doctors</w:t>
      </w:r>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Ikatan</w:t>
      </w:r>
      <w:proofErr w:type="spellEnd"/>
      <w:r w:rsidRPr="005C446D">
        <w:rPr>
          <w:rFonts w:ascii="Times New Roman" w:hAnsi="Times New Roman"/>
          <w:color w:val="000000" w:themeColor="text1"/>
          <w:sz w:val="24"/>
          <w:szCs w:val="24"/>
        </w:rPr>
        <w:t xml:space="preserve"> Ahli </w:t>
      </w:r>
      <w:proofErr w:type="spellStart"/>
      <w:r w:rsidRPr="005C446D">
        <w:rPr>
          <w:rFonts w:ascii="Times New Roman" w:hAnsi="Times New Roman"/>
          <w:color w:val="000000" w:themeColor="text1"/>
          <w:sz w:val="24"/>
          <w:szCs w:val="24"/>
        </w:rPr>
        <w:t>Bedah</w:t>
      </w:r>
      <w:proofErr w:type="spellEnd"/>
      <w:r w:rsidRPr="005C446D">
        <w:rPr>
          <w:rFonts w:ascii="Times New Roman" w:hAnsi="Times New Roman"/>
          <w:color w:val="000000" w:themeColor="text1"/>
          <w:sz w:val="24"/>
          <w:szCs w:val="24"/>
        </w:rPr>
        <w:t xml:space="preserve"> Indonesia. </w:t>
      </w:r>
      <w:proofErr w:type="spellStart"/>
      <w:r w:rsidRPr="005C446D">
        <w:rPr>
          <w:rFonts w:ascii="Times New Roman" w:hAnsi="Times New Roman"/>
          <w:color w:val="000000" w:themeColor="text1"/>
          <w:sz w:val="24"/>
          <w:szCs w:val="24"/>
        </w:rPr>
        <w:t>Komisi</w:t>
      </w:r>
      <w:proofErr w:type="spellEnd"/>
      <w:r w:rsidRPr="005C446D">
        <w:rPr>
          <w:rFonts w:ascii="Times New Roman" w:hAnsi="Times New Roman"/>
          <w:color w:val="000000" w:themeColor="text1"/>
          <w:sz w:val="24"/>
          <w:szCs w:val="24"/>
        </w:rPr>
        <w:t xml:space="preserve"> trauma IKABI. </w:t>
      </w:r>
    </w:p>
    <w:p w14:paraId="2A8551EE" w14:textId="77777777" w:rsidR="00744CE5" w:rsidRPr="005C446D" w:rsidRDefault="00744CE5" w:rsidP="00744CE5">
      <w:pPr>
        <w:numPr>
          <w:ilvl w:val="0"/>
          <w:numId w:val="6"/>
        </w:numPr>
        <w:ind w:left="357" w:hanging="357"/>
        <w:jc w:val="both"/>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Riyadina</w:t>
      </w:r>
      <w:proofErr w:type="spellEnd"/>
      <w:r w:rsidRPr="005C446D">
        <w:rPr>
          <w:rFonts w:ascii="Times New Roman" w:hAnsi="Times New Roman"/>
          <w:color w:val="000000" w:themeColor="text1"/>
          <w:sz w:val="24"/>
          <w:szCs w:val="24"/>
        </w:rPr>
        <w:t xml:space="preserve">, W, </w:t>
      </w:r>
      <w:proofErr w:type="spellStart"/>
      <w:r w:rsidRPr="005C446D">
        <w:rPr>
          <w:rFonts w:ascii="Times New Roman" w:hAnsi="Times New Roman"/>
          <w:color w:val="000000" w:themeColor="text1"/>
          <w:sz w:val="24"/>
          <w:szCs w:val="24"/>
        </w:rPr>
        <w:t>dkk</w:t>
      </w:r>
      <w:proofErr w:type="spellEnd"/>
      <w:r w:rsidRPr="005C446D">
        <w:rPr>
          <w:rFonts w:ascii="Times New Roman" w:hAnsi="Times New Roman"/>
          <w:color w:val="000000" w:themeColor="text1"/>
          <w:sz w:val="24"/>
          <w:szCs w:val="24"/>
        </w:rPr>
        <w:t xml:space="preserve">, 2009, </w:t>
      </w:r>
      <w:proofErr w:type="spellStart"/>
      <w:r w:rsidRPr="005C446D">
        <w:rPr>
          <w:rFonts w:ascii="Times New Roman" w:hAnsi="Times New Roman"/>
          <w:bCs/>
          <w:color w:val="000000" w:themeColor="text1"/>
          <w:sz w:val="24"/>
          <w:szCs w:val="24"/>
        </w:rPr>
        <w:t>Pola</w:t>
      </w:r>
      <w:proofErr w:type="spellEnd"/>
      <w:r w:rsidRPr="005C446D">
        <w:rPr>
          <w:rFonts w:ascii="Times New Roman" w:hAnsi="Times New Roman"/>
          <w:bCs/>
          <w:color w:val="000000" w:themeColor="text1"/>
          <w:sz w:val="24"/>
          <w:szCs w:val="24"/>
        </w:rPr>
        <w:t xml:space="preserve"> </w:t>
      </w:r>
      <w:proofErr w:type="spellStart"/>
      <w:r w:rsidRPr="005C446D">
        <w:rPr>
          <w:rFonts w:ascii="Times New Roman" w:hAnsi="Times New Roman"/>
          <w:bCs/>
          <w:color w:val="000000" w:themeColor="text1"/>
          <w:sz w:val="24"/>
          <w:szCs w:val="24"/>
        </w:rPr>
        <w:t>Determinan</w:t>
      </w:r>
      <w:proofErr w:type="spellEnd"/>
      <w:r w:rsidRPr="005C446D">
        <w:rPr>
          <w:rFonts w:ascii="Times New Roman" w:hAnsi="Times New Roman"/>
          <w:bCs/>
          <w:color w:val="000000" w:themeColor="text1"/>
          <w:sz w:val="24"/>
          <w:szCs w:val="24"/>
        </w:rPr>
        <w:t xml:space="preserve"> </w:t>
      </w:r>
      <w:proofErr w:type="spellStart"/>
      <w:r w:rsidRPr="005C446D">
        <w:rPr>
          <w:rFonts w:ascii="Times New Roman" w:hAnsi="Times New Roman"/>
          <w:bCs/>
          <w:color w:val="000000" w:themeColor="text1"/>
          <w:sz w:val="24"/>
          <w:szCs w:val="24"/>
        </w:rPr>
        <w:t>Sosiodemografi</w:t>
      </w:r>
      <w:proofErr w:type="spellEnd"/>
      <w:r w:rsidRPr="005C446D">
        <w:rPr>
          <w:rFonts w:ascii="Times New Roman" w:hAnsi="Times New Roman"/>
          <w:bCs/>
          <w:color w:val="000000" w:themeColor="text1"/>
          <w:sz w:val="24"/>
          <w:szCs w:val="24"/>
        </w:rPr>
        <w:t xml:space="preserve"> </w:t>
      </w:r>
      <w:proofErr w:type="spellStart"/>
      <w:r w:rsidRPr="005C446D">
        <w:rPr>
          <w:rFonts w:ascii="Times New Roman" w:hAnsi="Times New Roman"/>
          <w:bCs/>
          <w:color w:val="000000" w:themeColor="text1"/>
          <w:sz w:val="24"/>
          <w:szCs w:val="24"/>
        </w:rPr>
        <w:t>Cedera</w:t>
      </w:r>
      <w:proofErr w:type="spellEnd"/>
      <w:r w:rsidRPr="005C446D">
        <w:rPr>
          <w:rFonts w:ascii="Times New Roman" w:hAnsi="Times New Roman"/>
          <w:bCs/>
          <w:color w:val="000000" w:themeColor="text1"/>
          <w:sz w:val="24"/>
          <w:szCs w:val="24"/>
        </w:rPr>
        <w:t xml:space="preserve"> </w:t>
      </w:r>
      <w:proofErr w:type="spellStart"/>
      <w:r w:rsidRPr="005C446D">
        <w:rPr>
          <w:rFonts w:ascii="Times New Roman" w:hAnsi="Times New Roman"/>
          <w:bCs/>
          <w:color w:val="000000" w:themeColor="text1"/>
          <w:sz w:val="24"/>
          <w:szCs w:val="24"/>
        </w:rPr>
        <w:t>Akibat</w:t>
      </w:r>
      <w:proofErr w:type="spellEnd"/>
      <w:r w:rsidRPr="005C446D">
        <w:rPr>
          <w:rFonts w:ascii="Times New Roman" w:hAnsi="Times New Roman"/>
          <w:bCs/>
          <w:color w:val="000000" w:themeColor="text1"/>
          <w:sz w:val="24"/>
          <w:szCs w:val="24"/>
        </w:rPr>
        <w:t xml:space="preserve"> </w:t>
      </w:r>
      <w:proofErr w:type="spellStart"/>
      <w:r w:rsidRPr="005C446D">
        <w:rPr>
          <w:rFonts w:ascii="Times New Roman" w:hAnsi="Times New Roman"/>
          <w:bCs/>
          <w:color w:val="000000" w:themeColor="text1"/>
          <w:sz w:val="24"/>
          <w:szCs w:val="24"/>
        </w:rPr>
        <w:t>Kecelakaan</w:t>
      </w:r>
      <w:proofErr w:type="spellEnd"/>
      <w:r w:rsidRPr="005C446D">
        <w:rPr>
          <w:rFonts w:ascii="Times New Roman" w:hAnsi="Times New Roman"/>
          <w:bCs/>
          <w:color w:val="000000" w:themeColor="text1"/>
          <w:sz w:val="24"/>
          <w:szCs w:val="24"/>
        </w:rPr>
        <w:t xml:space="preserve"> </w:t>
      </w:r>
      <w:proofErr w:type="spellStart"/>
      <w:r w:rsidRPr="005C446D">
        <w:rPr>
          <w:rFonts w:ascii="Times New Roman" w:hAnsi="Times New Roman"/>
          <w:bCs/>
          <w:color w:val="000000" w:themeColor="text1"/>
          <w:sz w:val="24"/>
          <w:szCs w:val="24"/>
        </w:rPr>
        <w:t>Lalu</w:t>
      </w:r>
      <w:proofErr w:type="spellEnd"/>
      <w:r w:rsidRPr="005C446D">
        <w:rPr>
          <w:rFonts w:ascii="Times New Roman" w:hAnsi="Times New Roman"/>
          <w:bCs/>
          <w:color w:val="000000" w:themeColor="text1"/>
          <w:sz w:val="24"/>
          <w:szCs w:val="24"/>
        </w:rPr>
        <w:t xml:space="preserve"> Lintas di Indonesia</w:t>
      </w:r>
      <w:r w:rsidRPr="005C446D">
        <w:rPr>
          <w:rFonts w:ascii="Times New Roman" w:hAnsi="Times New Roman"/>
          <w:color w:val="000000" w:themeColor="text1"/>
          <w:sz w:val="24"/>
          <w:szCs w:val="24"/>
        </w:rPr>
        <w:t xml:space="preserve">. </w:t>
      </w:r>
      <w:proofErr w:type="spellStart"/>
      <w:r w:rsidRPr="005C446D">
        <w:rPr>
          <w:rFonts w:ascii="Times New Roman" w:hAnsi="Times New Roman"/>
          <w:i/>
          <w:color w:val="000000" w:themeColor="text1"/>
          <w:sz w:val="24"/>
          <w:szCs w:val="24"/>
        </w:rPr>
        <w:t>Majalah</w:t>
      </w:r>
      <w:proofErr w:type="spellEnd"/>
      <w:r w:rsidRPr="005C446D">
        <w:rPr>
          <w:rFonts w:ascii="Times New Roman" w:hAnsi="Times New Roman"/>
          <w:i/>
          <w:color w:val="000000" w:themeColor="text1"/>
          <w:sz w:val="24"/>
          <w:szCs w:val="24"/>
        </w:rPr>
        <w:t xml:space="preserve"> </w:t>
      </w:r>
      <w:proofErr w:type="spellStart"/>
      <w:r w:rsidRPr="005C446D">
        <w:rPr>
          <w:rFonts w:ascii="Times New Roman" w:hAnsi="Times New Roman"/>
          <w:i/>
          <w:color w:val="000000" w:themeColor="text1"/>
          <w:sz w:val="24"/>
          <w:szCs w:val="24"/>
        </w:rPr>
        <w:t>Kedokteran</w:t>
      </w:r>
      <w:proofErr w:type="spellEnd"/>
      <w:r w:rsidRPr="005C446D">
        <w:rPr>
          <w:rFonts w:ascii="Times New Roman" w:hAnsi="Times New Roman"/>
          <w:i/>
          <w:color w:val="000000" w:themeColor="text1"/>
          <w:sz w:val="24"/>
          <w:szCs w:val="24"/>
        </w:rPr>
        <w:t xml:space="preserve"> Indonesia Vol 59 No 10,</w:t>
      </w:r>
      <w:r w:rsidRPr="005C446D">
        <w:rPr>
          <w:rFonts w:ascii="Times New Roman" w:hAnsi="Times New Roman"/>
          <w:color w:val="000000" w:themeColor="text1"/>
          <w:sz w:val="24"/>
          <w:szCs w:val="24"/>
        </w:rPr>
        <w:t xml:space="preserve"> Jakarta.</w:t>
      </w:r>
    </w:p>
    <w:p w14:paraId="57A4DD98" w14:textId="77777777" w:rsidR="00744CE5" w:rsidRPr="005C446D" w:rsidRDefault="00744CE5" w:rsidP="002F5954">
      <w:pPr>
        <w:numPr>
          <w:ilvl w:val="0"/>
          <w:numId w:val="6"/>
        </w:numPr>
        <w:ind w:left="357" w:hanging="357"/>
        <w:jc w:val="both"/>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Dinkes</w:t>
      </w:r>
      <w:proofErr w:type="spellEnd"/>
      <w:r w:rsidRPr="005C446D">
        <w:rPr>
          <w:rFonts w:ascii="Times New Roman" w:hAnsi="Times New Roman"/>
          <w:color w:val="000000" w:themeColor="text1"/>
          <w:sz w:val="24"/>
          <w:szCs w:val="24"/>
        </w:rPr>
        <w:t xml:space="preserve"> DI, 2013, </w:t>
      </w:r>
      <w:proofErr w:type="spellStart"/>
      <w:r w:rsidRPr="005C446D">
        <w:rPr>
          <w:rFonts w:ascii="Times New Roman" w:hAnsi="Times New Roman"/>
          <w:i/>
          <w:iCs/>
          <w:color w:val="000000" w:themeColor="text1"/>
          <w:sz w:val="24"/>
          <w:szCs w:val="24"/>
        </w:rPr>
        <w:t>Profil</w:t>
      </w:r>
      <w:proofErr w:type="spellEnd"/>
      <w:r w:rsidRPr="005C446D">
        <w:rPr>
          <w:rFonts w:ascii="Times New Roman" w:hAnsi="Times New Roman"/>
          <w:i/>
          <w:iCs/>
          <w:color w:val="000000" w:themeColor="text1"/>
          <w:sz w:val="24"/>
          <w:szCs w:val="24"/>
        </w:rPr>
        <w:t xml:space="preserve"> </w:t>
      </w:r>
      <w:proofErr w:type="spellStart"/>
      <w:r w:rsidRPr="005C446D">
        <w:rPr>
          <w:rFonts w:ascii="Times New Roman" w:hAnsi="Times New Roman"/>
          <w:i/>
          <w:iCs/>
          <w:color w:val="000000" w:themeColor="text1"/>
          <w:sz w:val="24"/>
          <w:szCs w:val="24"/>
        </w:rPr>
        <w:t>Kesehatan</w:t>
      </w:r>
      <w:proofErr w:type="spellEnd"/>
      <w:r w:rsidRPr="005C446D">
        <w:rPr>
          <w:rFonts w:ascii="Times New Roman" w:hAnsi="Times New Roman"/>
          <w:i/>
          <w:iCs/>
          <w:color w:val="000000" w:themeColor="text1"/>
          <w:sz w:val="24"/>
          <w:szCs w:val="24"/>
        </w:rPr>
        <w:t xml:space="preserve"> Daerah Istimewa Yogyakarta </w:t>
      </w:r>
      <w:proofErr w:type="spellStart"/>
      <w:r w:rsidRPr="005C446D">
        <w:rPr>
          <w:rFonts w:ascii="Times New Roman" w:hAnsi="Times New Roman"/>
          <w:i/>
          <w:iCs/>
          <w:color w:val="000000" w:themeColor="text1"/>
          <w:sz w:val="24"/>
          <w:szCs w:val="24"/>
        </w:rPr>
        <w:t>Tahun</w:t>
      </w:r>
      <w:proofErr w:type="spellEnd"/>
      <w:r w:rsidRPr="005C446D">
        <w:rPr>
          <w:rFonts w:ascii="Times New Roman" w:hAnsi="Times New Roman"/>
          <w:i/>
          <w:iCs/>
          <w:color w:val="000000" w:themeColor="text1"/>
          <w:sz w:val="24"/>
          <w:szCs w:val="24"/>
        </w:rPr>
        <w:t xml:space="preserve"> 2013</w:t>
      </w:r>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Dinas</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Kesehatan</w:t>
      </w:r>
      <w:proofErr w:type="spellEnd"/>
      <w:r w:rsidRPr="005C446D">
        <w:rPr>
          <w:rFonts w:ascii="Times New Roman" w:hAnsi="Times New Roman"/>
          <w:color w:val="000000" w:themeColor="text1"/>
          <w:sz w:val="24"/>
          <w:szCs w:val="24"/>
        </w:rPr>
        <w:t xml:space="preserve"> D.I. Yogyakarta, Yogyakarta.</w:t>
      </w:r>
    </w:p>
    <w:p w14:paraId="6AD5EAA8" w14:textId="77777777" w:rsidR="00744CE5" w:rsidRPr="005C446D" w:rsidRDefault="00744CE5" w:rsidP="002F5954">
      <w:pPr>
        <w:numPr>
          <w:ilvl w:val="0"/>
          <w:numId w:val="6"/>
        </w:numPr>
        <w:ind w:left="357" w:hanging="357"/>
        <w:jc w:val="both"/>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Sugiyono</w:t>
      </w:r>
      <w:proofErr w:type="spellEnd"/>
      <w:r w:rsidRPr="005C446D">
        <w:rPr>
          <w:rFonts w:ascii="Times New Roman" w:hAnsi="Times New Roman"/>
          <w:color w:val="000000" w:themeColor="text1"/>
          <w:sz w:val="24"/>
          <w:szCs w:val="24"/>
        </w:rPr>
        <w:t xml:space="preserve">, 2014, </w:t>
      </w:r>
      <w:proofErr w:type="spellStart"/>
      <w:r w:rsidRPr="005C446D">
        <w:rPr>
          <w:rFonts w:ascii="Times New Roman" w:hAnsi="Times New Roman"/>
          <w:i/>
          <w:color w:val="000000" w:themeColor="text1"/>
          <w:sz w:val="24"/>
          <w:szCs w:val="24"/>
        </w:rPr>
        <w:t>Metode</w:t>
      </w:r>
      <w:proofErr w:type="spellEnd"/>
      <w:r w:rsidRPr="005C446D">
        <w:rPr>
          <w:rFonts w:ascii="Times New Roman" w:hAnsi="Times New Roman"/>
          <w:i/>
          <w:color w:val="000000" w:themeColor="text1"/>
          <w:sz w:val="24"/>
          <w:szCs w:val="24"/>
        </w:rPr>
        <w:t xml:space="preserve"> </w:t>
      </w:r>
      <w:proofErr w:type="spellStart"/>
      <w:r w:rsidRPr="005C446D">
        <w:rPr>
          <w:rFonts w:ascii="Times New Roman" w:hAnsi="Times New Roman"/>
          <w:i/>
          <w:color w:val="000000" w:themeColor="text1"/>
          <w:sz w:val="24"/>
          <w:szCs w:val="24"/>
        </w:rPr>
        <w:t>Penelitian</w:t>
      </w:r>
      <w:proofErr w:type="spellEnd"/>
      <w:r w:rsidRPr="005C446D">
        <w:rPr>
          <w:rFonts w:ascii="Times New Roman" w:hAnsi="Times New Roman"/>
          <w:i/>
          <w:color w:val="000000" w:themeColor="text1"/>
          <w:sz w:val="24"/>
          <w:szCs w:val="24"/>
        </w:rPr>
        <w:t xml:space="preserve"> </w:t>
      </w:r>
      <w:proofErr w:type="spellStart"/>
      <w:r w:rsidRPr="005C446D">
        <w:rPr>
          <w:rFonts w:ascii="Times New Roman" w:hAnsi="Times New Roman"/>
          <w:i/>
          <w:color w:val="000000" w:themeColor="text1"/>
          <w:sz w:val="24"/>
          <w:szCs w:val="24"/>
        </w:rPr>
        <w:t>Manajemen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Alvabeta</w:t>
      </w:r>
      <w:proofErr w:type="spellEnd"/>
      <w:r w:rsidRPr="005C446D">
        <w:rPr>
          <w:rFonts w:ascii="Times New Roman" w:hAnsi="Times New Roman"/>
          <w:color w:val="000000" w:themeColor="text1"/>
          <w:sz w:val="24"/>
          <w:szCs w:val="24"/>
        </w:rPr>
        <w:t>, Bandung.</w:t>
      </w:r>
    </w:p>
    <w:p w14:paraId="7A58B94B" w14:textId="128AB50B" w:rsidR="002F5954" w:rsidRPr="005C446D" w:rsidRDefault="002F5954" w:rsidP="002F5954">
      <w:pPr>
        <w:pStyle w:val="ListParagraph"/>
        <w:numPr>
          <w:ilvl w:val="0"/>
          <w:numId w:val="6"/>
        </w:numPr>
        <w:spacing w:after="0" w:line="240" w:lineRule="auto"/>
        <w:jc w:val="both"/>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Mowen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dan</w:t>
      </w:r>
      <w:proofErr w:type="spellEnd"/>
      <w:r w:rsidRPr="005C446D">
        <w:rPr>
          <w:rFonts w:ascii="Times New Roman" w:hAnsi="Times New Roman"/>
          <w:color w:val="000000" w:themeColor="text1"/>
          <w:sz w:val="24"/>
          <w:szCs w:val="24"/>
        </w:rPr>
        <w:t xml:space="preserve"> Hansen, 2009, </w:t>
      </w:r>
      <w:proofErr w:type="spellStart"/>
      <w:r w:rsidRPr="005C446D">
        <w:rPr>
          <w:rFonts w:ascii="Times New Roman" w:hAnsi="Times New Roman"/>
          <w:i/>
          <w:iCs/>
          <w:color w:val="000000" w:themeColor="text1"/>
          <w:sz w:val="24"/>
          <w:szCs w:val="24"/>
        </w:rPr>
        <w:t>Akuntansi</w:t>
      </w:r>
      <w:proofErr w:type="spellEnd"/>
      <w:r w:rsidRPr="005C446D">
        <w:rPr>
          <w:rFonts w:ascii="Times New Roman" w:hAnsi="Times New Roman"/>
          <w:i/>
          <w:iCs/>
          <w:color w:val="000000" w:themeColor="text1"/>
          <w:sz w:val="24"/>
          <w:szCs w:val="24"/>
        </w:rPr>
        <w:t xml:space="preserve"> </w:t>
      </w:r>
      <w:proofErr w:type="spellStart"/>
      <w:r w:rsidRPr="005C446D">
        <w:rPr>
          <w:rFonts w:ascii="Times New Roman" w:hAnsi="Times New Roman"/>
          <w:i/>
          <w:iCs/>
          <w:color w:val="000000" w:themeColor="text1"/>
          <w:sz w:val="24"/>
          <w:szCs w:val="24"/>
        </w:rPr>
        <w:t>Menejerial</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Edisi</w:t>
      </w:r>
      <w:proofErr w:type="spellEnd"/>
      <w:r w:rsidRPr="005C446D">
        <w:rPr>
          <w:rFonts w:ascii="Times New Roman" w:hAnsi="Times New Roman"/>
          <w:color w:val="000000" w:themeColor="text1"/>
          <w:sz w:val="24"/>
          <w:szCs w:val="24"/>
        </w:rPr>
        <w:t xml:space="preserve"> 8, </w:t>
      </w:r>
      <w:proofErr w:type="spellStart"/>
      <w:r w:rsidRPr="005C446D">
        <w:rPr>
          <w:rFonts w:ascii="Times New Roman" w:hAnsi="Times New Roman"/>
          <w:color w:val="000000" w:themeColor="text1"/>
          <w:sz w:val="24"/>
          <w:szCs w:val="24"/>
        </w:rPr>
        <w:t>Salemba</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Empat</w:t>
      </w:r>
      <w:proofErr w:type="spellEnd"/>
      <w:r w:rsidRPr="005C446D">
        <w:rPr>
          <w:rFonts w:ascii="Times New Roman" w:hAnsi="Times New Roman"/>
          <w:color w:val="000000" w:themeColor="text1"/>
          <w:sz w:val="24"/>
          <w:szCs w:val="24"/>
        </w:rPr>
        <w:t>, Jakarta</w:t>
      </w:r>
    </w:p>
    <w:p w14:paraId="6BD53479" w14:textId="6D4AFCCA" w:rsidR="00A65D13" w:rsidRPr="005C446D" w:rsidRDefault="00A65D13" w:rsidP="002F5954">
      <w:pPr>
        <w:numPr>
          <w:ilvl w:val="0"/>
          <w:numId w:val="6"/>
        </w:numPr>
        <w:ind w:left="357" w:hanging="357"/>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Baker, J., J. 1998. </w:t>
      </w:r>
      <w:r w:rsidRPr="005C446D">
        <w:rPr>
          <w:rFonts w:ascii="Times New Roman" w:hAnsi="Times New Roman"/>
          <w:i/>
          <w:color w:val="000000" w:themeColor="text1"/>
          <w:sz w:val="24"/>
          <w:szCs w:val="24"/>
        </w:rPr>
        <w:t>Activity based costing and activity based management foe healthcare</w:t>
      </w:r>
      <w:r w:rsidRPr="005C446D">
        <w:rPr>
          <w:rFonts w:ascii="Times New Roman" w:hAnsi="Times New Roman"/>
          <w:color w:val="000000" w:themeColor="text1"/>
          <w:sz w:val="24"/>
          <w:szCs w:val="24"/>
        </w:rPr>
        <w:t xml:space="preserve">, aspen publisher, </w:t>
      </w:r>
      <w:proofErr w:type="spellStart"/>
      <w:r w:rsidRPr="005C446D">
        <w:rPr>
          <w:rFonts w:ascii="Times New Roman" w:hAnsi="Times New Roman"/>
          <w:color w:val="000000" w:themeColor="text1"/>
          <w:sz w:val="24"/>
          <w:szCs w:val="24"/>
        </w:rPr>
        <w:t>inc.</w:t>
      </w:r>
      <w:proofErr w:type="spellEnd"/>
    </w:p>
    <w:p w14:paraId="2B981217" w14:textId="77777777" w:rsidR="00744CE5" w:rsidRPr="005C446D" w:rsidRDefault="00744CE5" w:rsidP="002F5954">
      <w:pPr>
        <w:numPr>
          <w:ilvl w:val="0"/>
          <w:numId w:val="6"/>
        </w:numPr>
        <w:ind w:left="357" w:hanging="357"/>
        <w:jc w:val="both"/>
        <w:rPr>
          <w:rFonts w:ascii="Times New Roman" w:hAnsi="Times New Roman"/>
          <w:color w:val="000000" w:themeColor="text1"/>
          <w:sz w:val="24"/>
          <w:szCs w:val="24"/>
        </w:rPr>
      </w:pPr>
      <w:proofErr w:type="spellStart"/>
      <w:r w:rsidRPr="005C446D">
        <w:rPr>
          <w:rFonts w:ascii="Times New Roman" w:hAnsi="Times New Roman"/>
          <w:color w:val="000000" w:themeColor="text1"/>
          <w:sz w:val="24"/>
        </w:rPr>
        <w:t>Nunea</w:t>
      </w:r>
      <w:proofErr w:type="spellEnd"/>
      <w:r w:rsidRPr="005C446D">
        <w:rPr>
          <w:rFonts w:ascii="Times New Roman" w:hAnsi="Times New Roman"/>
          <w:color w:val="000000" w:themeColor="text1"/>
          <w:sz w:val="24"/>
        </w:rPr>
        <w:t xml:space="preserve"> </w:t>
      </w:r>
      <w:proofErr w:type="spellStart"/>
      <w:r w:rsidRPr="005C446D">
        <w:rPr>
          <w:rFonts w:ascii="Times New Roman" w:hAnsi="Times New Roman"/>
          <w:color w:val="000000" w:themeColor="text1"/>
          <w:sz w:val="24"/>
        </w:rPr>
        <w:t>Bontas</w:t>
      </w:r>
      <w:proofErr w:type="spellEnd"/>
      <w:r w:rsidRPr="005C446D">
        <w:rPr>
          <w:rFonts w:ascii="Times New Roman" w:hAnsi="Times New Roman"/>
          <w:color w:val="000000" w:themeColor="text1"/>
          <w:sz w:val="24"/>
        </w:rPr>
        <w:t xml:space="preserve"> Christina. 2013. The Cost </w:t>
      </w:r>
      <w:proofErr w:type="gramStart"/>
      <w:r w:rsidRPr="005C446D">
        <w:rPr>
          <w:rFonts w:ascii="Times New Roman" w:hAnsi="Times New Roman"/>
          <w:color w:val="000000" w:themeColor="text1"/>
          <w:sz w:val="24"/>
        </w:rPr>
        <w:t>Of</w:t>
      </w:r>
      <w:proofErr w:type="gramEnd"/>
      <w:r w:rsidRPr="005C446D">
        <w:rPr>
          <w:rFonts w:ascii="Times New Roman" w:hAnsi="Times New Roman"/>
          <w:color w:val="000000" w:themeColor="text1"/>
          <w:sz w:val="24"/>
        </w:rPr>
        <w:t xml:space="preserve"> Production Under Direct Costing And Absorption Costing – A Comparative Approach. </w:t>
      </w:r>
      <w:r w:rsidRPr="005C446D">
        <w:rPr>
          <w:rFonts w:ascii="Times New Roman" w:hAnsi="Times New Roman"/>
          <w:i/>
          <w:color w:val="000000" w:themeColor="text1"/>
          <w:sz w:val="24"/>
        </w:rPr>
        <w:t>ACADEMICA BRÂNCUŞI” PUBLISHER, ISSN 1844 – 7007</w:t>
      </w:r>
    </w:p>
    <w:p w14:paraId="03FAB4EE" w14:textId="77777777" w:rsidR="00744CE5" w:rsidRPr="005C446D" w:rsidRDefault="00744CE5" w:rsidP="002F5954">
      <w:pPr>
        <w:numPr>
          <w:ilvl w:val="0"/>
          <w:numId w:val="6"/>
        </w:numPr>
        <w:ind w:left="357" w:hanging="357"/>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Chatterjee, </w:t>
      </w:r>
      <w:proofErr w:type="spellStart"/>
      <w:r w:rsidRPr="005C446D">
        <w:rPr>
          <w:rFonts w:ascii="Times New Roman" w:hAnsi="Times New Roman"/>
          <w:color w:val="000000" w:themeColor="text1"/>
          <w:sz w:val="24"/>
          <w:szCs w:val="24"/>
        </w:rPr>
        <w:t>Susmita</w:t>
      </w:r>
      <w:proofErr w:type="spellEnd"/>
      <w:r w:rsidRPr="005C446D">
        <w:rPr>
          <w:rFonts w:ascii="Times New Roman" w:hAnsi="Times New Roman"/>
          <w:color w:val="000000" w:themeColor="text1"/>
          <w:sz w:val="24"/>
          <w:szCs w:val="24"/>
        </w:rPr>
        <w:t xml:space="preserve"> Carol, Levin and </w:t>
      </w:r>
      <w:proofErr w:type="spellStart"/>
      <w:r w:rsidRPr="005C446D">
        <w:rPr>
          <w:rFonts w:ascii="Times New Roman" w:hAnsi="Times New Roman"/>
          <w:color w:val="000000" w:themeColor="text1"/>
          <w:sz w:val="24"/>
          <w:szCs w:val="24"/>
        </w:rPr>
        <w:t>Ramanan</w:t>
      </w:r>
      <w:proofErr w:type="spellEnd"/>
      <w:r w:rsidRPr="005C446D">
        <w:rPr>
          <w:rFonts w:ascii="Times New Roman" w:hAnsi="Times New Roman"/>
          <w:color w:val="000000" w:themeColor="text1"/>
          <w:sz w:val="24"/>
          <w:szCs w:val="24"/>
        </w:rPr>
        <w:t xml:space="preserve"> </w:t>
      </w:r>
      <w:proofErr w:type="spellStart"/>
      <w:r w:rsidRPr="005C446D">
        <w:rPr>
          <w:rFonts w:ascii="Times New Roman" w:hAnsi="Times New Roman"/>
          <w:color w:val="000000" w:themeColor="text1"/>
          <w:sz w:val="24"/>
          <w:szCs w:val="24"/>
        </w:rPr>
        <w:t>Laxminarayan</w:t>
      </w:r>
      <w:proofErr w:type="spellEnd"/>
      <w:r w:rsidRPr="005C446D">
        <w:rPr>
          <w:rFonts w:ascii="Times New Roman" w:hAnsi="Times New Roman"/>
          <w:color w:val="000000" w:themeColor="text1"/>
          <w:sz w:val="24"/>
          <w:szCs w:val="24"/>
        </w:rPr>
        <w:t xml:space="preserve">. 2013. Unit Cost of Medical Services at Different Hospitals in India. Journal </w:t>
      </w:r>
      <w:proofErr w:type="spellStart"/>
      <w:r w:rsidRPr="005C446D">
        <w:rPr>
          <w:rFonts w:ascii="Times New Roman" w:hAnsi="Times New Roman"/>
          <w:color w:val="000000" w:themeColor="text1"/>
          <w:sz w:val="24"/>
          <w:szCs w:val="24"/>
        </w:rPr>
        <w:t>PLos</w:t>
      </w:r>
      <w:proofErr w:type="spellEnd"/>
      <w:r w:rsidRPr="005C446D">
        <w:rPr>
          <w:rFonts w:ascii="Times New Roman" w:hAnsi="Times New Roman"/>
          <w:color w:val="000000" w:themeColor="text1"/>
          <w:sz w:val="24"/>
          <w:szCs w:val="24"/>
        </w:rPr>
        <w:t xml:space="preserve"> ONE 8(7)</w:t>
      </w:r>
    </w:p>
    <w:p w14:paraId="43FBC742" w14:textId="77777777" w:rsidR="00744CE5" w:rsidRPr="005C446D" w:rsidRDefault="00744CE5" w:rsidP="002F5954">
      <w:pPr>
        <w:numPr>
          <w:ilvl w:val="0"/>
          <w:numId w:val="6"/>
        </w:numPr>
        <w:ind w:left="357" w:hanging="357"/>
        <w:jc w:val="both"/>
        <w:rPr>
          <w:rFonts w:ascii="Times New Roman" w:hAnsi="Times New Roman"/>
          <w:color w:val="000000" w:themeColor="text1"/>
          <w:sz w:val="24"/>
          <w:szCs w:val="24"/>
        </w:rPr>
      </w:pPr>
      <w:r w:rsidRPr="005C446D">
        <w:rPr>
          <w:rFonts w:ascii="Times New Roman" w:hAnsi="Times New Roman"/>
          <w:color w:val="000000" w:themeColor="text1"/>
          <w:sz w:val="24"/>
        </w:rPr>
        <w:lastRenderedPageBreak/>
        <w:t>Budapest University of Technology and Economics, Department of Construction Technology &amp; Management, Hungary. 2011. Cost calculation methods</w:t>
      </w:r>
      <w:r w:rsidRPr="005C446D">
        <w:rPr>
          <w:rFonts w:ascii="Times New Roman" w:hAnsi="Times New Roman"/>
          <w:color w:val="000000" w:themeColor="text1"/>
          <w:sz w:val="24"/>
          <w:szCs w:val="24"/>
        </w:rPr>
        <w:t xml:space="preserve"> </w:t>
      </w:r>
    </w:p>
    <w:p w14:paraId="2D17FCAE" w14:textId="77777777" w:rsidR="00744CE5" w:rsidRPr="005C446D" w:rsidRDefault="00744CE5" w:rsidP="002F5954">
      <w:pPr>
        <w:pStyle w:val="ListParagraph"/>
        <w:numPr>
          <w:ilvl w:val="0"/>
          <w:numId w:val="6"/>
        </w:numPr>
        <w:autoSpaceDE w:val="0"/>
        <w:autoSpaceDN w:val="0"/>
        <w:adjustRightInd w:val="0"/>
        <w:spacing w:after="0" w:line="240" w:lineRule="auto"/>
        <w:ind w:left="357" w:hanging="357"/>
        <w:jc w:val="both"/>
        <w:rPr>
          <w:rFonts w:ascii="Times New Roman" w:hAnsi="Times New Roman"/>
          <w:i/>
          <w:color w:val="000000" w:themeColor="text1"/>
          <w:sz w:val="24"/>
        </w:rPr>
      </w:pPr>
      <w:r w:rsidRPr="005C446D">
        <w:rPr>
          <w:rFonts w:ascii="Times New Roman" w:hAnsi="Times New Roman"/>
          <w:color w:val="000000" w:themeColor="text1"/>
          <w:sz w:val="24"/>
        </w:rPr>
        <w:t xml:space="preserve">Spring. 2015. Hospital Overhead Costs: The Neglected Driver of Health Care </w:t>
      </w:r>
      <w:proofErr w:type="gramStart"/>
      <w:r w:rsidRPr="005C446D">
        <w:rPr>
          <w:rFonts w:ascii="Times New Roman" w:hAnsi="Times New Roman"/>
          <w:color w:val="000000" w:themeColor="text1"/>
          <w:sz w:val="24"/>
        </w:rPr>
        <w:t>Spending?.</w:t>
      </w:r>
      <w:proofErr w:type="gramEnd"/>
      <w:r w:rsidRPr="005C446D">
        <w:rPr>
          <w:rFonts w:ascii="Times New Roman" w:hAnsi="Times New Roman"/>
          <w:color w:val="000000" w:themeColor="text1"/>
          <w:sz w:val="24"/>
        </w:rPr>
        <w:t xml:space="preserve"> </w:t>
      </w:r>
      <w:r w:rsidRPr="005C446D">
        <w:rPr>
          <w:rFonts w:ascii="Times New Roman" w:hAnsi="Times New Roman"/>
          <w:i/>
          <w:color w:val="000000" w:themeColor="text1"/>
          <w:sz w:val="24"/>
        </w:rPr>
        <w:t xml:space="preserve"> Journal of Health Care </w:t>
      </w:r>
      <w:proofErr w:type="spellStart"/>
      <w:r w:rsidRPr="005C446D">
        <w:rPr>
          <w:rFonts w:ascii="Times New Roman" w:hAnsi="Times New Roman"/>
          <w:i/>
          <w:color w:val="000000" w:themeColor="text1"/>
          <w:sz w:val="24"/>
        </w:rPr>
        <w:t>Financ</w:t>
      </w:r>
      <w:proofErr w:type="spellEnd"/>
    </w:p>
    <w:p w14:paraId="0C45608D" w14:textId="77777777" w:rsidR="00744CE5" w:rsidRPr="005C446D" w:rsidRDefault="00744CE5" w:rsidP="002F5954">
      <w:pPr>
        <w:pStyle w:val="ListParagraph"/>
        <w:numPr>
          <w:ilvl w:val="0"/>
          <w:numId w:val="6"/>
        </w:numPr>
        <w:spacing w:after="0" w:line="240" w:lineRule="auto"/>
        <w:ind w:left="357" w:hanging="357"/>
        <w:jc w:val="both"/>
        <w:rPr>
          <w:rFonts w:ascii="Times New Roman" w:hAnsi="Times New Roman"/>
          <w:color w:val="000000" w:themeColor="text1"/>
          <w:sz w:val="24"/>
        </w:rPr>
      </w:pPr>
      <w:proofErr w:type="spellStart"/>
      <w:r w:rsidRPr="005C446D">
        <w:rPr>
          <w:rFonts w:ascii="Times New Roman" w:hAnsi="Times New Roman"/>
          <w:color w:val="000000" w:themeColor="text1"/>
          <w:sz w:val="24"/>
        </w:rPr>
        <w:t>Than</w:t>
      </w:r>
      <w:proofErr w:type="spellEnd"/>
      <w:r w:rsidRPr="005C446D">
        <w:rPr>
          <w:rFonts w:ascii="Times New Roman" w:hAnsi="Times New Roman"/>
          <w:color w:val="000000" w:themeColor="text1"/>
          <w:sz w:val="24"/>
        </w:rPr>
        <w:t xml:space="preserve">, Saw, </w:t>
      </w:r>
      <w:proofErr w:type="spellStart"/>
      <w:r w:rsidRPr="005C446D">
        <w:rPr>
          <w:rFonts w:ascii="Times New Roman" w:hAnsi="Times New Roman"/>
          <w:color w:val="000000" w:themeColor="text1"/>
          <w:sz w:val="24"/>
        </w:rPr>
        <w:t>Khaing</w:t>
      </w:r>
      <w:proofErr w:type="spellEnd"/>
      <w:r w:rsidRPr="005C446D">
        <w:rPr>
          <w:rFonts w:ascii="Times New Roman" w:hAnsi="Times New Roman"/>
          <w:color w:val="000000" w:themeColor="text1"/>
          <w:sz w:val="24"/>
        </w:rPr>
        <w:t xml:space="preserve">, Win, Cho, </w:t>
      </w:r>
      <w:proofErr w:type="spellStart"/>
      <w:r w:rsidRPr="005C446D">
        <w:rPr>
          <w:rFonts w:ascii="Times New Roman" w:hAnsi="Times New Roman"/>
          <w:color w:val="000000" w:themeColor="text1"/>
          <w:sz w:val="24"/>
        </w:rPr>
        <w:t>Kariya</w:t>
      </w:r>
      <w:proofErr w:type="spellEnd"/>
      <w:r w:rsidRPr="005C446D">
        <w:rPr>
          <w:rFonts w:ascii="Times New Roman" w:hAnsi="Times New Roman"/>
          <w:color w:val="000000" w:themeColor="text1"/>
          <w:sz w:val="24"/>
        </w:rPr>
        <w:t xml:space="preserve">, Yamamoto and </w:t>
      </w:r>
      <w:proofErr w:type="spellStart"/>
      <w:r w:rsidRPr="005C446D">
        <w:rPr>
          <w:rFonts w:ascii="Times New Roman" w:hAnsi="Times New Roman"/>
          <w:color w:val="000000" w:themeColor="text1"/>
          <w:sz w:val="24"/>
        </w:rPr>
        <w:t>Hamajima</w:t>
      </w:r>
      <w:proofErr w:type="spellEnd"/>
      <w:r w:rsidRPr="005C446D">
        <w:rPr>
          <w:rFonts w:ascii="Times New Roman" w:hAnsi="Times New Roman"/>
          <w:color w:val="000000" w:themeColor="text1"/>
          <w:sz w:val="24"/>
        </w:rPr>
        <w:t xml:space="preserve">. 2017. Unit cost of healthcare services at 200-bed public hospitals in Myanmar: what plays </w:t>
      </w:r>
      <w:proofErr w:type="spellStart"/>
      <w:r w:rsidRPr="005C446D">
        <w:rPr>
          <w:rFonts w:ascii="Times New Roman" w:hAnsi="Times New Roman"/>
          <w:color w:val="000000" w:themeColor="text1"/>
          <w:sz w:val="24"/>
        </w:rPr>
        <w:t>animportant</w:t>
      </w:r>
      <w:proofErr w:type="spellEnd"/>
      <w:r w:rsidRPr="005C446D">
        <w:rPr>
          <w:rFonts w:ascii="Times New Roman" w:hAnsi="Times New Roman"/>
          <w:color w:val="000000" w:themeColor="text1"/>
          <w:sz w:val="24"/>
        </w:rPr>
        <w:t xml:space="preserve"> role of hospital </w:t>
      </w:r>
      <w:proofErr w:type="gramStart"/>
      <w:r w:rsidRPr="005C446D">
        <w:rPr>
          <w:rFonts w:ascii="Times New Roman" w:hAnsi="Times New Roman"/>
          <w:color w:val="000000" w:themeColor="text1"/>
          <w:sz w:val="24"/>
        </w:rPr>
        <w:t>budgeting?.</w:t>
      </w:r>
      <w:proofErr w:type="gramEnd"/>
      <w:r w:rsidRPr="005C446D">
        <w:rPr>
          <w:rFonts w:ascii="Times New Roman" w:hAnsi="Times New Roman"/>
          <w:color w:val="000000" w:themeColor="text1"/>
          <w:sz w:val="24"/>
        </w:rPr>
        <w:t xml:space="preserve"> </w:t>
      </w:r>
      <w:r w:rsidRPr="005C446D">
        <w:rPr>
          <w:rFonts w:ascii="Times New Roman" w:hAnsi="Times New Roman"/>
          <w:i/>
          <w:color w:val="000000" w:themeColor="text1"/>
          <w:sz w:val="24"/>
        </w:rPr>
        <w:t>BMC Health Services Research (2017) 17:669 DOI 10.1186/s12913-017-2619-z</w:t>
      </w:r>
    </w:p>
    <w:p w14:paraId="5C95C3AF" w14:textId="77777777" w:rsidR="00744CE5" w:rsidRPr="005C446D" w:rsidRDefault="00744CE5" w:rsidP="00744CE5">
      <w:pPr>
        <w:numPr>
          <w:ilvl w:val="0"/>
          <w:numId w:val="6"/>
        </w:numPr>
        <w:ind w:left="357" w:hanging="357"/>
        <w:jc w:val="both"/>
        <w:rPr>
          <w:rFonts w:ascii="Times New Roman" w:hAnsi="Times New Roman"/>
          <w:color w:val="000000" w:themeColor="text1"/>
          <w:sz w:val="24"/>
          <w:szCs w:val="24"/>
        </w:rPr>
      </w:pPr>
      <w:proofErr w:type="spellStart"/>
      <w:r w:rsidRPr="005C446D">
        <w:rPr>
          <w:rFonts w:ascii="Times New Roman" w:hAnsi="Times New Roman"/>
          <w:color w:val="000000" w:themeColor="text1"/>
          <w:sz w:val="24"/>
          <w:szCs w:val="24"/>
        </w:rPr>
        <w:t>Kalman</w:t>
      </w:r>
      <w:proofErr w:type="spellEnd"/>
      <w:r w:rsidRPr="005C446D">
        <w:rPr>
          <w:rFonts w:ascii="Times New Roman" w:hAnsi="Times New Roman"/>
          <w:color w:val="000000" w:themeColor="text1"/>
          <w:sz w:val="24"/>
          <w:szCs w:val="24"/>
        </w:rPr>
        <w:t xml:space="preserve">, Noah S., MD; Bradley G. Hammill, MS; Kevin A. Schulman, MD; </w:t>
      </w:r>
      <w:proofErr w:type="spellStart"/>
      <w:r w:rsidRPr="005C446D">
        <w:rPr>
          <w:rFonts w:ascii="Times New Roman" w:hAnsi="Times New Roman"/>
          <w:color w:val="000000" w:themeColor="text1"/>
          <w:sz w:val="24"/>
          <w:szCs w:val="24"/>
        </w:rPr>
        <w:t>Bimal</w:t>
      </w:r>
      <w:proofErr w:type="spellEnd"/>
      <w:r w:rsidRPr="005C446D">
        <w:rPr>
          <w:rFonts w:ascii="Times New Roman" w:hAnsi="Times New Roman"/>
          <w:color w:val="000000" w:themeColor="text1"/>
          <w:sz w:val="24"/>
          <w:szCs w:val="24"/>
        </w:rPr>
        <w:t xml:space="preserve"> R. Shah, MD, MBA. 2015. </w:t>
      </w:r>
      <w:r w:rsidRPr="005C446D">
        <w:rPr>
          <w:rFonts w:ascii="Times New Roman" w:hAnsi="Times New Roman"/>
          <w:i/>
          <w:color w:val="000000" w:themeColor="text1"/>
          <w:sz w:val="24"/>
          <w:szCs w:val="24"/>
        </w:rPr>
        <w:t>Hospitals Overhead Costs: The Neglected Driver of Health Care Spending</w:t>
      </w:r>
      <w:r w:rsidRPr="005C446D">
        <w:rPr>
          <w:rFonts w:ascii="Times New Roman" w:hAnsi="Times New Roman"/>
          <w:color w:val="000000" w:themeColor="text1"/>
          <w:sz w:val="24"/>
          <w:szCs w:val="24"/>
        </w:rPr>
        <w:t>. Journal of Health Care Finance</w:t>
      </w:r>
    </w:p>
    <w:p w14:paraId="7880EED5" w14:textId="77777777" w:rsidR="00744CE5" w:rsidRPr="005C446D" w:rsidRDefault="00744CE5" w:rsidP="00744CE5">
      <w:pPr>
        <w:numPr>
          <w:ilvl w:val="0"/>
          <w:numId w:val="6"/>
        </w:numPr>
        <w:ind w:left="357" w:hanging="357"/>
        <w:jc w:val="both"/>
        <w:rPr>
          <w:rFonts w:ascii="Times New Roman" w:hAnsi="Times New Roman"/>
          <w:color w:val="000000" w:themeColor="text1"/>
          <w:sz w:val="24"/>
          <w:szCs w:val="24"/>
        </w:rPr>
      </w:pPr>
      <w:r w:rsidRPr="005C446D">
        <w:rPr>
          <w:rFonts w:ascii="Times New Roman" w:hAnsi="Times New Roman"/>
          <w:color w:val="000000" w:themeColor="text1"/>
          <w:sz w:val="24"/>
          <w:szCs w:val="24"/>
        </w:rPr>
        <w:t xml:space="preserve">Huang D, Song S, Tian J, Cui Q, Yang K. 2015. Effects of clinical pathways in stroke management: a meta-analysis. </w:t>
      </w:r>
      <w:proofErr w:type="spellStart"/>
      <w:r w:rsidRPr="005C446D">
        <w:rPr>
          <w:rFonts w:ascii="Times New Roman" w:hAnsi="Times New Roman"/>
          <w:color w:val="000000" w:themeColor="text1"/>
          <w:sz w:val="24"/>
          <w:szCs w:val="24"/>
        </w:rPr>
        <w:t>Neurol</w:t>
      </w:r>
      <w:proofErr w:type="spellEnd"/>
      <w:r w:rsidRPr="005C446D">
        <w:rPr>
          <w:rFonts w:ascii="Times New Roman" w:hAnsi="Times New Roman"/>
          <w:color w:val="000000" w:themeColor="text1"/>
          <w:sz w:val="24"/>
          <w:szCs w:val="24"/>
        </w:rPr>
        <w:t xml:space="preserve"> Asia.; 20(4):335-42</w:t>
      </w:r>
    </w:p>
    <w:p w14:paraId="477C61E6" w14:textId="6DFF23D2" w:rsidR="00744CE5" w:rsidRPr="005C446D" w:rsidRDefault="00744CE5" w:rsidP="00744CE5">
      <w:pPr>
        <w:numPr>
          <w:ilvl w:val="0"/>
          <w:numId w:val="6"/>
        </w:numPr>
        <w:ind w:left="357" w:hanging="357"/>
        <w:jc w:val="both"/>
        <w:rPr>
          <w:rFonts w:ascii="Times New Roman" w:hAnsi="Times New Roman"/>
          <w:color w:val="000000" w:themeColor="text1"/>
          <w:sz w:val="24"/>
        </w:rPr>
      </w:pPr>
      <w:proofErr w:type="spellStart"/>
      <w:r w:rsidRPr="005C446D">
        <w:rPr>
          <w:rFonts w:ascii="Times New Roman" w:hAnsi="Times New Roman"/>
          <w:color w:val="000000" w:themeColor="text1"/>
          <w:sz w:val="24"/>
          <w:szCs w:val="24"/>
        </w:rPr>
        <w:t>Haidan</w:t>
      </w:r>
      <w:proofErr w:type="spellEnd"/>
      <w:r w:rsidRPr="005C446D">
        <w:rPr>
          <w:rFonts w:ascii="Times New Roman" w:hAnsi="Times New Roman"/>
          <w:color w:val="000000" w:themeColor="text1"/>
          <w:sz w:val="24"/>
        </w:rPr>
        <w:t xml:space="preserve"> and </w:t>
      </w:r>
      <w:proofErr w:type="spellStart"/>
      <w:r w:rsidRPr="005C446D">
        <w:rPr>
          <w:rFonts w:ascii="Times New Roman" w:hAnsi="Times New Roman"/>
          <w:color w:val="000000" w:themeColor="text1"/>
          <w:sz w:val="24"/>
        </w:rPr>
        <w:t>Salehi</w:t>
      </w:r>
      <w:proofErr w:type="spellEnd"/>
      <w:r w:rsidRPr="005C446D">
        <w:rPr>
          <w:rFonts w:ascii="Times New Roman" w:hAnsi="Times New Roman"/>
          <w:color w:val="000000" w:themeColor="text1"/>
          <w:sz w:val="24"/>
        </w:rPr>
        <w:t xml:space="preserve">. 2016. Application of the Activity-Based Costing Method for Unit-Cost Calculation in a Hospital. </w:t>
      </w:r>
      <w:r w:rsidRPr="005C446D">
        <w:rPr>
          <w:rFonts w:ascii="Times New Roman" w:hAnsi="Times New Roman"/>
          <w:i/>
          <w:color w:val="000000" w:themeColor="text1"/>
          <w:sz w:val="24"/>
        </w:rPr>
        <w:t>Global journal of health science · January 2016</w:t>
      </w:r>
    </w:p>
    <w:sectPr w:rsidR="00744CE5" w:rsidRPr="005C446D" w:rsidSect="000B2A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hjycjAdvTT86d47313">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24E0D"/>
    <w:multiLevelType w:val="hybridMultilevel"/>
    <w:tmpl w:val="F7AE9840"/>
    <w:lvl w:ilvl="0" w:tplc="0409000F">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06C12"/>
    <w:multiLevelType w:val="hybridMultilevel"/>
    <w:tmpl w:val="51D007CE"/>
    <w:lvl w:ilvl="0" w:tplc="894E1426">
      <w:start w:val="1"/>
      <w:numFmt w:val="decimal"/>
      <w:lvlText w:val="%1."/>
      <w:lvlJc w:val="left"/>
      <w:pPr>
        <w:ind w:left="717" w:hanging="360"/>
      </w:pPr>
      <w:rPr>
        <w:rFonts w:cs="Times New Roman" w:hint="default"/>
      </w:rPr>
    </w:lvl>
    <w:lvl w:ilvl="1" w:tplc="04090019" w:tentative="1">
      <w:start w:val="1"/>
      <w:numFmt w:val="lowerLetter"/>
      <w:lvlText w:val="%2."/>
      <w:lvlJc w:val="left"/>
      <w:pPr>
        <w:ind w:left="1437" w:hanging="360"/>
      </w:pPr>
      <w:rPr>
        <w:rFonts w:cs="Times New Roman"/>
      </w:rPr>
    </w:lvl>
    <w:lvl w:ilvl="2" w:tplc="0409001B" w:tentative="1">
      <w:start w:val="1"/>
      <w:numFmt w:val="lowerRoman"/>
      <w:lvlText w:val="%3."/>
      <w:lvlJc w:val="right"/>
      <w:pPr>
        <w:ind w:left="2157" w:hanging="180"/>
      </w:pPr>
      <w:rPr>
        <w:rFonts w:cs="Times New Roman"/>
      </w:rPr>
    </w:lvl>
    <w:lvl w:ilvl="3" w:tplc="0409000F" w:tentative="1">
      <w:start w:val="1"/>
      <w:numFmt w:val="decimal"/>
      <w:lvlText w:val="%4."/>
      <w:lvlJc w:val="left"/>
      <w:pPr>
        <w:ind w:left="2877" w:hanging="360"/>
      </w:pPr>
      <w:rPr>
        <w:rFonts w:cs="Times New Roman"/>
      </w:rPr>
    </w:lvl>
    <w:lvl w:ilvl="4" w:tplc="04090019" w:tentative="1">
      <w:start w:val="1"/>
      <w:numFmt w:val="lowerLetter"/>
      <w:lvlText w:val="%5."/>
      <w:lvlJc w:val="left"/>
      <w:pPr>
        <w:ind w:left="3597" w:hanging="360"/>
      </w:pPr>
      <w:rPr>
        <w:rFonts w:cs="Times New Roman"/>
      </w:rPr>
    </w:lvl>
    <w:lvl w:ilvl="5" w:tplc="0409001B" w:tentative="1">
      <w:start w:val="1"/>
      <w:numFmt w:val="lowerRoman"/>
      <w:lvlText w:val="%6."/>
      <w:lvlJc w:val="right"/>
      <w:pPr>
        <w:ind w:left="4317" w:hanging="180"/>
      </w:pPr>
      <w:rPr>
        <w:rFonts w:cs="Times New Roman"/>
      </w:rPr>
    </w:lvl>
    <w:lvl w:ilvl="6" w:tplc="0409000F" w:tentative="1">
      <w:start w:val="1"/>
      <w:numFmt w:val="decimal"/>
      <w:lvlText w:val="%7."/>
      <w:lvlJc w:val="left"/>
      <w:pPr>
        <w:ind w:left="5037" w:hanging="360"/>
      </w:pPr>
      <w:rPr>
        <w:rFonts w:cs="Times New Roman"/>
      </w:rPr>
    </w:lvl>
    <w:lvl w:ilvl="7" w:tplc="04090019" w:tentative="1">
      <w:start w:val="1"/>
      <w:numFmt w:val="lowerLetter"/>
      <w:lvlText w:val="%8."/>
      <w:lvlJc w:val="left"/>
      <w:pPr>
        <w:ind w:left="5757" w:hanging="360"/>
      </w:pPr>
      <w:rPr>
        <w:rFonts w:cs="Times New Roman"/>
      </w:rPr>
    </w:lvl>
    <w:lvl w:ilvl="8" w:tplc="0409001B" w:tentative="1">
      <w:start w:val="1"/>
      <w:numFmt w:val="lowerRoman"/>
      <w:lvlText w:val="%9."/>
      <w:lvlJc w:val="right"/>
      <w:pPr>
        <w:ind w:left="6477" w:hanging="180"/>
      </w:pPr>
      <w:rPr>
        <w:rFonts w:cs="Times New Roman"/>
      </w:rPr>
    </w:lvl>
  </w:abstractNum>
  <w:abstractNum w:abstractNumId="2">
    <w:nsid w:val="088F1504"/>
    <w:multiLevelType w:val="hybridMultilevel"/>
    <w:tmpl w:val="6F96555E"/>
    <w:lvl w:ilvl="0" w:tplc="7C4613D6">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A1BE9"/>
    <w:multiLevelType w:val="hybridMultilevel"/>
    <w:tmpl w:val="F0A0C830"/>
    <w:lvl w:ilvl="0" w:tplc="04090011">
      <w:start w:val="1"/>
      <w:numFmt w:val="decimal"/>
      <w:lvlText w:val="%1)"/>
      <w:lvlJc w:val="left"/>
      <w:pPr>
        <w:ind w:left="72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A8A06AB"/>
    <w:multiLevelType w:val="hybridMultilevel"/>
    <w:tmpl w:val="F684C39A"/>
    <w:lvl w:ilvl="0" w:tplc="8C8EAE48">
      <w:start w:val="1"/>
      <w:numFmt w:val="decimal"/>
      <w:lvlText w:val="%1)"/>
      <w:lvlJc w:val="left"/>
      <w:pPr>
        <w:ind w:left="720" w:hanging="360"/>
      </w:pPr>
      <w:rPr>
        <w:b w:val="0"/>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5">
    <w:nsid w:val="31F706D0"/>
    <w:multiLevelType w:val="hybridMultilevel"/>
    <w:tmpl w:val="FFD88EA2"/>
    <w:lvl w:ilvl="0" w:tplc="04090011">
      <w:start w:val="1"/>
      <w:numFmt w:val="decimal"/>
      <w:lvlText w:val="%1)"/>
      <w:lvlJc w:val="left"/>
      <w:pPr>
        <w:ind w:left="720" w:hanging="360"/>
      </w:pPr>
      <w:rPr>
        <w:b w:val="0"/>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6">
    <w:nsid w:val="49FF0946"/>
    <w:multiLevelType w:val="hybridMultilevel"/>
    <w:tmpl w:val="0A6ADC10"/>
    <w:lvl w:ilvl="0" w:tplc="F0768B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194110"/>
    <w:multiLevelType w:val="hybridMultilevel"/>
    <w:tmpl w:val="419EC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B70906"/>
    <w:multiLevelType w:val="hybridMultilevel"/>
    <w:tmpl w:val="CC14C9D2"/>
    <w:lvl w:ilvl="0" w:tplc="0F7EC5F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5"/>
  </w:num>
  <w:num w:numId="4">
    <w:abstractNumId w:val="1"/>
  </w:num>
  <w:num w:numId="5">
    <w:abstractNumId w:val="3"/>
  </w:num>
  <w:num w:numId="6">
    <w:abstractNumId w:val="0"/>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CE5"/>
    <w:rsid w:val="00085D0B"/>
    <w:rsid w:val="000B2AAA"/>
    <w:rsid w:val="000D608E"/>
    <w:rsid w:val="00161A50"/>
    <w:rsid w:val="002F0543"/>
    <w:rsid w:val="002F5954"/>
    <w:rsid w:val="00400864"/>
    <w:rsid w:val="004633EF"/>
    <w:rsid w:val="004711C5"/>
    <w:rsid w:val="004C4110"/>
    <w:rsid w:val="005B1312"/>
    <w:rsid w:val="005C14D1"/>
    <w:rsid w:val="005C446D"/>
    <w:rsid w:val="005D53E7"/>
    <w:rsid w:val="005F3299"/>
    <w:rsid w:val="00602023"/>
    <w:rsid w:val="00606547"/>
    <w:rsid w:val="00621C80"/>
    <w:rsid w:val="00690567"/>
    <w:rsid w:val="0069092A"/>
    <w:rsid w:val="006A21D3"/>
    <w:rsid w:val="006D3449"/>
    <w:rsid w:val="00744CE5"/>
    <w:rsid w:val="00764BFC"/>
    <w:rsid w:val="007B5579"/>
    <w:rsid w:val="008F72C6"/>
    <w:rsid w:val="00954B9E"/>
    <w:rsid w:val="00987B67"/>
    <w:rsid w:val="009A22C9"/>
    <w:rsid w:val="009E56DD"/>
    <w:rsid w:val="009E7F85"/>
    <w:rsid w:val="00A4197E"/>
    <w:rsid w:val="00A45ABF"/>
    <w:rsid w:val="00A65D13"/>
    <w:rsid w:val="00AC74A0"/>
    <w:rsid w:val="00B20523"/>
    <w:rsid w:val="00BA5F6E"/>
    <w:rsid w:val="00CA791F"/>
    <w:rsid w:val="00D42DA2"/>
    <w:rsid w:val="00D628E5"/>
    <w:rsid w:val="00D62BC6"/>
    <w:rsid w:val="00D908C8"/>
    <w:rsid w:val="00E0195F"/>
    <w:rsid w:val="00E278AB"/>
    <w:rsid w:val="00E3734B"/>
    <w:rsid w:val="00E626E4"/>
    <w:rsid w:val="00F11A54"/>
    <w:rsid w:val="00FA6AEF"/>
    <w:rsid w:val="00FC75CB"/>
    <w:rsid w:val="00FD7CFA"/>
    <w:rsid w:val="00FE7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98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4CE5"/>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4CE5"/>
    <w:pPr>
      <w:autoSpaceDE w:val="0"/>
      <w:autoSpaceDN w:val="0"/>
      <w:adjustRightInd w:val="0"/>
    </w:pPr>
    <w:rPr>
      <w:rFonts w:ascii="Calibri" w:eastAsia="Times New Roman" w:hAnsi="Calibri" w:cs="Times New Roman"/>
      <w:color w:val="000000"/>
    </w:rPr>
  </w:style>
  <w:style w:type="paragraph" w:styleId="ListParagraph">
    <w:name w:val="List Paragraph"/>
    <w:aliases w:val="Body of text"/>
    <w:basedOn w:val="Normal"/>
    <w:link w:val="ListParagraphChar"/>
    <w:uiPriority w:val="34"/>
    <w:qFormat/>
    <w:rsid w:val="00744CE5"/>
    <w:pPr>
      <w:spacing w:after="200" w:line="276" w:lineRule="auto"/>
      <w:ind w:left="720"/>
      <w:contextualSpacing/>
    </w:pPr>
    <w:rPr>
      <w:rFonts w:eastAsia="Times New Roman" w:cs="Times New Roman"/>
      <w:sz w:val="22"/>
      <w:szCs w:val="22"/>
    </w:rPr>
  </w:style>
  <w:style w:type="character" w:customStyle="1" w:styleId="ListParagraphChar">
    <w:name w:val="List Paragraph Char"/>
    <w:aliases w:val="Body of text Char"/>
    <w:link w:val="ListParagraph"/>
    <w:uiPriority w:val="34"/>
    <w:locked/>
    <w:rsid w:val="00744CE5"/>
    <w:rPr>
      <w:rFonts w:ascii="Calibri" w:eastAsia="Times New Roman" w:hAnsi="Calibri" w:cs="Times New Roman"/>
      <w:sz w:val="22"/>
      <w:szCs w:val="22"/>
    </w:rPr>
  </w:style>
  <w:style w:type="character" w:styleId="Hyperlink">
    <w:name w:val="Hyperlink"/>
    <w:uiPriority w:val="99"/>
    <w:unhideWhenUsed/>
    <w:rsid w:val="00744CE5"/>
    <w:rPr>
      <w:rFonts w:cs="Times New Roman"/>
      <w:color w:val="0000FF"/>
      <w:u w:val="single"/>
    </w:rPr>
  </w:style>
  <w:style w:type="character" w:customStyle="1" w:styleId="translation">
    <w:name w:val="translation"/>
    <w:basedOn w:val="DefaultParagraphFont"/>
    <w:rsid w:val="00744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igit_kurniawan119@yahoo.com" TargetMode="External"/><Relationship Id="rId6" Type="http://schemas.openxmlformats.org/officeDocument/2006/relationships/hyperlink" Target="http://www.ppjk" TargetMode="External"/><Relationship Id="rId7" Type="http://schemas.openxmlformats.org/officeDocument/2006/relationships/hyperlink" Target="http://www.dcoe.mil/Content/Navigation"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5314</Words>
  <Characters>30295</Characters>
  <Application>Microsoft Macintosh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2017-12-28T10:01:00Z</dcterms:created>
  <dcterms:modified xsi:type="dcterms:W3CDTF">2017-12-28T10:01:00Z</dcterms:modified>
</cp:coreProperties>
</file>